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left"/>
        <w:rPr>
          <w:rFonts w:ascii="Times New Roman" w:hAnsi="Times New Roman" w:eastAsia="方正小标宋_GBK" w:cs="Times New Roman"/>
          <w:sz w:val="32"/>
          <w:szCs w:val="32"/>
        </w:rPr>
      </w:pPr>
      <w:r>
        <w:rPr>
          <w:rFonts w:ascii="Times New Roman" w:hAnsi="Times New Roman" w:eastAsia="方正小标宋_GBK" w:cs="Times New Roman"/>
          <w:sz w:val="32"/>
          <w:szCs w:val="32"/>
        </w:rPr>
        <w:t>附件1</w:t>
      </w:r>
    </w:p>
    <w:p>
      <w:pPr>
        <w:spacing w:line="560" w:lineRule="exact"/>
        <w:jc w:val="center"/>
        <w:rPr>
          <w:rFonts w:hint="default" w:ascii="Times New Roman" w:hAnsi="Times New Roman" w:eastAsia="仿宋" w:cs="Times New Roman"/>
          <w:b/>
          <w:bCs/>
          <w:sz w:val="36"/>
          <w:szCs w:val="36"/>
          <w:lang w:val="en-US"/>
        </w:rPr>
      </w:pPr>
      <w:r>
        <w:rPr>
          <w:rFonts w:hint="eastAsia" w:ascii="Times New Roman" w:hAnsi="Times New Roman" w:eastAsia="仿宋" w:cs="Times New Roman"/>
          <w:b/>
          <w:bCs/>
          <w:sz w:val="36"/>
          <w:szCs w:val="36"/>
        </w:rPr>
        <w:t>成都武侯祠博物</w:t>
      </w:r>
      <w:r>
        <w:rPr>
          <w:rFonts w:hint="eastAsia" w:ascii="Times New Roman" w:hAnsi="Times New Roman" w:eastAsia="仿宋" w:cs="Times New Roman"/>
          <w:b/>
          <w:bCs/>
          <w:sz w:val="36"/>
          <w:szCs w:val="36"/>
          <w:lang w:val="en-US" w:eastAsia="zh-CN"/>
        </w:rPr>
        <w:t>2026年报废固定资产评估</w:t>
      </w:r>
    </w:p>
    <w:p>
      <w:pPr>
        <w:spacing w:line="560" w:lineRule="exact"/>
        <w:jc w:val="center"/>
        <w:rPr>
          <w:rFonts w:ascii="Times New Roman" w:hAnsi="Times New Roman" w:eastAsia="仿宋" w:cs="Times New Roman"/>
          <w:b/>
          <w:bCs/>
          <w:sz w:val="36"/>
          <w:szCs w:val="36"/>
        </w:rPr>
      </w:pPr>
      <w:r>
        <w:rPr>
          <w:rFonts w:hint="eastAsia" w:ascii="Times New Roman" w:hAnsi="Times New Roman" w:eastAsia="仿宋" w:cs="Times New Roman"/>
          <w:b/>
          <w:bCs/>
          <w:sz w:val="36"/>
          <w:szCs w:val="36"/>
        </w:rPr>
        <w:t>项目需求单</w:t>
      </w:r>
    </w:p>
    <w:p>
      <w:pPr>
        <w:pStyle w:val="2"/>
      </w:pPr>
    </w:p>
    <w:tbl>
      <w:tblPr>
        <w:tblStyle w:val="17"/>
        <w:tblW w:w="10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1345"/>
        <w:gridCol w:w="1333"/>
        <w:gridCol w:w="900"/>
        <w:gridCol w:w="2033"/>
        <w:gridCol w:w="1333"/>
        <w:gridCol w:w="2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005" w:type="dxa"/>
            <w:gridSpan w:val="2"/>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项目需求部门</w:t>
            </w:r>
          </w:p>
        </w:tc>
        <w:tc>
          <w:tcPr>
            <w:tcW w:w="1333" w:type="dxa"/>
            <w:vAlign w:val="center"/>
          </w:tcPr>
          <w:p>
            <w:pPr>
              <w:spacing w:line="560" w:lineRule="exact"/>
              <w:jc w:val="center"/>
              <w:rPr>
                <w:rFonts w:hint="eastAsia" w:ascii="仿宋" w:hAnsi="仿宋" w:eastAsia="仿宋" w:cs="仿宋"/>
                <w:sz w:val="28"/>
                <w:szCs w:val="28"/>
                <w:lang w:eastAsia="zh-CN"/>
              </w:rPr>
            </w:pPr>
            <w:r>
              <w:rPr>
                <w:rFonts w:hint="eastAsia" w:ascii="仿宋" w:hAnsi="仿宋" w:eastAsia="仿宋" w:cs="仿宋"/>
                <w:sz w:val="28"/>
                <w:szCs w:val="28"/>
                <w:lang w:val="en-US" w:eastAsia="zh-CN"/>
              </w:rPr>
              <w:t>后勤管理部</w:t>
            </w:r>
          </w:p>
        </w:tc>
        <w:tc>
          <w:tcPr>
            <w:tcW w:w="900" w:type="dxa"/>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联系人</w:t>
            </w:r>
          </w:p>
        </w:tc>
        <w:tc>
          <w:tcPr>
            <w:tcW w:w="2033" w:type="dxa"/>
            <w:vAlign w:val="center"/>
          </w:tcPr>
          <w:p>
            <w:pPr>
              <w:spacing w:line="560" w:lineRule="exact"/>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薛老师</w:t>
            </w:r>
          </w:p>
        </w:tc>
        <w:tc>
          <w:tcPr>
            <w:tcW w:w="1333" w:type="dxa"/>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联系</w:t>
            </w:r>
          </w:p>
          <w:p>
            <w:pPr>
              <w:spacing w:line="560" w:lineRule="exact"/>
              <w:jc w:val="center"/>
              <w:rPr>
                <w:rFonts w:ascii="仿宋" w:hAnsi="仿宋" w:eastAsia="仿宋" w:cs="仿宋"/>
                <w:sz w:val="28"/>
                <w:szCs w:val="28"/>
              </w:rPr>
            </w:pPr>
            <w:r>
              <w:rPr>
                <w:rFonts w:hint="eastAsia" w:ascii="仿宋" w:hAnsi="仿宋" w:eastAsia="仿宋" w:cs="仿宋"/>
                <w:sz w:val="28"/>
                <w:szCs w:val="28"/>
              </w:rPr>
              <w:t>电话</w:t>
            </w:r>
          </w:p>
        </w:tc>
        <w:tc>
          <w:tcPr>
            <w:tcW w:w="2741" w:type="dxa"/>
            <w:vAlign w:val="center"/>
          </w:tcPr>
          <w:p>
            <w:pPr>
              <w:spacing w:line="560" w:lineRule="exact"/>
              <w:jc w:val="center"/>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17748480876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660" w:type="dxa"/>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序号</w:t>
            </w:r>
          </w:p>
        </w:tc>
        <w:tc>
          <w:tcPr>
            <w:tcW w:w="1345" w:type="dxa"/>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服务名称</w:t>
            </w:r>
          </w:p>
        </w:tc>
        <w:tc>
          <w:tcPr>
            <w:tcW w:w="2233" w:type="dxa"/>
            <w:gridSpan w:val="2"/>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服务期限</w:t>
            </w:r>
          </w:p>
        </w:tc>
        <w:tc>
          <w:tcPr>
            <w:tcW w:w="6107" w:type="dxa"/>
            <w:gridSpan w:val="3"/>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项目需求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660" w:type="dxa"/>
            <w:vAlign w:val="center"/>
          </w:tcPr>
          <w:p>
            <w:pPr>
              <w:spacing w:line="560" w:lineRule="exact"/>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w:t>
            </w:r>
          </w:p>
        </w:tc>
        <w:tc>
          <w:tcPr>
            <w:tcW w:w="1345" w:type="dxa"/>
            <w:vAlign w:val="center"/>
          </w:tcPr>
          <w:p>
            <w:pPr>
              <w:spacing w:line="560" w:lineRule="exact"/>
              <w:jc w:val="center"/>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rPr>
              <w:t>成都武侯祠博物馆</w:t>
            </w:r>
            <w:r>
              <w:rPr>
                <w:rFonts w:hint="eastAsia" w:ascii="方正仿宋_GBK" w:hAnsi="方正仿宋_GBK" w:eastAsia="方正仿宋_GBK" w:cs="方正仿宋_GBK"/>
                <w:sz w:val="24"/>
                <w:szCs w:val="24"/>
                <w:lang w:val="en-US" w:eastAsia="zh-CN"/>
              </w:rPr>
              <w:t>2026年报废固定资产评估项目</w:t>
            </w:r>
          </w:p>
        </w:tc>
        <w:tc>
          <w:tcPr>
            <w:tcW w:w="2233" w:type="dxa"/>
            <w:gridSpan w:val="2"/>
            <w:vAlign w:val="center"/>
          </w:tcPr>
          <w:p>
            <w:pPr>
              <w:spacing w:line="560" w:lineRule="exact"/>
              <w:jc w:val="cente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合同签订之日起至完成本次</w:t>
            </w:r>
            <w:r>
              <w:rPr>
                <w:rFonts w:hint="eastAsia" w:ascii="方正仿宋_GBK" w:hAnsi="方正仿宋_GBK" w:eastAsia="方正仿宋_GBK" w:cs="方正仿宋_GBK"/>
                <w:sz w:val="24"/>
                <w:szCs w:val="24"/>
                <w:lang w:val="en-US" w:eastAsia="zh-CN"/>
              </w:rPr>
              <w:t>资产评估</w:t>
            </w:r>
            <w:r>
              <w:rPr>
                <w:rFonts w:hint="eastAsia" w:ascii="方正仿宋_GBK" w:hAnsi="方正仿宋_GBK" w:eastAsia="方正仿宋_GBK" w:cs="方正仿宋_GBK"/>
                <w:sz w:val="24"/>
                <w:szCs w:val="24"/>
              </w:rPr>
              <w:t>事项止</w:t>
            </w:r>
          </w:p>
        </w:tc>
        <w:tc>
          <w:tcPr>
            <w:tcW w:w="6107" w:type="dxa"/>
            <w:gridSpan w:val="3"/>
            <w:vAlign w:val="center"/>
          </w:tcPr>
          <w:p>
            <w:pPr>
              <w:pStyle w:val="2"/>
              <w:spacing w:line="400" w:lineRule="exact"/>
              <w:ind w:firstLine="0" w:firstLineChars="0"/>
              <w:jc w:val="left"/>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一、项目相关信息及需求</w:t>
            </w:r>
          </w:p>
          <w:p>
            <w:pPr>
              <w:pStyle w:val="2"/>
              <w:spacing w:line="400" w:lineRule="exact"/>
              <w:ind w:firstLine="0" w:firstLineChars="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1、项目基本信息：</w:t>
            </w:r>
          </w:p>
          <w:p>
            <w:pPr>
              <w:spacing w:line="400" w:lineRule="exact"/>
              <w:jc w:val="left"/>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rPr>
              <w:t>项目名称：成都武侯祠博物202</w:t>
            </w:r>
            <w:r>
              <w:rPr>
                <w:rFonts w:hint="eastAsia" w:ascii="方正仿宋_GBK" w:hAnsi="方正仿宋_GBK" w:eastAsia="方正仿宋_GBK" w:cs="方正仿宋_GBK"/>
                <w:sz w:val="24"/>
                <w:szCs w:val="24"/>
                <w:lang w:val="en-US" w:eastAsia="zh-CN"/>
              </w:rPr>
              <w:t>6</w:t>
            </w:r>
            <w:r>
              <w:rPr>
                <w:rFonts w:hint="eastAsia" w:ascii="方正仿宋_GBK" w:hAnsi="方正仿宋_GBK" w:eastAsia="方正仿宋_GBK" w:cs="方正仿宋_GBK"/>
                <w:sz w:val="24"/>
                <w:szCs w:val="24"/>
              </w:rPr>
              <w:t>年报废</w:t>
            </w:r>
            <w:r>
              <w:rPr>
                <w:rFonts w:hint="eastAsia" w:ascii="方正仿宋_GBK" w:hAnsi="方正仿宋_GBK" w:eastAsia="方正仿宋_GBK" w:cs="方正仿宋_GBK"/>
                <w:sz w:val="24"/>
                <w:szCs w:val="24"/>
                <w:lang w:val="en-US" w:eastAsia="zh-CN"/>
              </w:rPr>
              <w:t>固定</w:t>
            </w:r>
            <w:r>
              <w:rPr>
                <w:rFonts w:hint="eastAsia" w:ascii="方正仿宋_GBK" w:hAnsi="方正仿宋_GBK" w:eastAsia="方正仿宋_GBK" w:cs="方正仿宋_GBK"/>
                <w:sz w:val="24"/>
                <w:szCs w:val="24"/>
              </w:rPr>
              <w:t>资产评估</w:t>
            </w:r>
            <w:r>
              <w:rPr>
                <w:rFonts w:hint="eastAsia" w:ascii="方正仿宋_GBK" w:hAnsi="方正仿宋_GBK" w:eastAsia="方正仿宋_GBK" w:cs="方正仿宋_GBK"/>
                <w:sz w:val="24"/>
                <w:szCs w:val="24"/>
                <w:lang w:val="en-US" w:eastAsia="zh-CN"/>
              </w:rPr>
              <w:t>项目</w:t>
            </w:r>
          </w:p>
          <w:p>
            <w:pPr>
              <w:spacing w:line="400" w:lineRule="exact"/>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项目地点：成都市武侯祠大街231号</w:t>
            </w:r>
          </w:p>
          <w:p>
            <w:pPr>
              <w:spacing w:line="400" w:lineRule="exact"/>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项目范围：</w:t>
            </w:r>
          </w:p>
          <w:p>
            <w:pPr>
              <w:pStyle w:val="26"/>
              <w:numPr>
                <w:ilvl w:val="0"/>
                <w:numId w:val="1"/>
              </w:numPr>
              <w:spacing w:line="400" w:lineRule="exact"/>
              <w:ind w:firstLineChars="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评估成都武侯祠博物馆申报的报废资产残余价值，预计待报废的</w:t>
            </w:r>
            <w:bookmarkStart w:id="0" w:name="_GoBack"/>
            <w:bookmarkEnd w:id="0"/>
            <w:r>
              <w:rPr>
                <w:rFonts w:hint="eastAsia" w:ascii="方正仿宋_GBK" w:hAnsi="方正仿宋_GBK" w:eastAsia="方正仿宋_GBK" w:cs="方正仿宋_GBK"/>
                <w:sz w:val="24"/>
                <w:szCs w:val="24"/>
                <w:lang w:val="en-US" w:eastAsia="zh-CN"/>
              </w:rPr>
              <w:t>固定资产账面原值大约为430万元左右</w:t>
            </w:r>
            <w:r>
              <w:rPr>
                <w:rFonts w:hint="eastAsia" w:ascii="方正仿宋_GBK" w:hAnsi="方正仿宋_GBK" w:eastAsia="方正仿宋_GBK" w:cs="方正仿宋_GBK"/>
                <w:sz w:val="24"/>
                <w:szCs w:val="24"/>
              </w:rPr>
              <w:t>。</w:t>
            </w:r>
          </w:p>
          <w:p>
            <w:pPr>
              <w:pStyle w:val="26"/>
              <w:numPr>
                <w:ilvl w:val="0"/>
                <w:numId w:val="1"/>
              </w:numPr>
              <w:spacing w:line="400" w:lineRule="exact"/>
              <w:ind w:firstLineChars="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出具资产评估报告。</w:t>
            </w:r>
          </w:p>
          <w:p>
            <w:pPr>
              <w:pStyle w:val="2"/>
              <w:numPr>
                <w:ilvl w:val="0"/>
                <w:numId w:val="2"/>
              </w:numPr>
              <w:spacing w:line="400" w:lineRule="exact"/>
              <w:ind w:firstLine="0" w:firstLineChars="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总体原则与依据：</w:t>
            </w:r>
          </w:p>
          <w:p>
            <w:pPr>
              <w:pStyle w:val="2"/>
              <w:spacing w:line="400" w:lineRule="exact"/>
              <w:ind w:firstLine="0" w:firstLineChars="0"/>
              <w:jc w:val="left"/>
              <w:rPr>
                <w:rFonts w:ascii="方正仿宋_GBK" w:hAnsi="方正仿宋_GBK" w:eastAsia="方正仿宋_GBK" w:cs="方正仿宋_GBK"/>
                <w:sz w:val="24"/>
                <w:szCs w:val="24"/>
                <w:highlight w:val="yellow"/>
              </w:rPr>
            </w:pPr>
            <w:r>
              <w:rPr>
                <w:rFonts w:hint="eastAsia" w:ascii="方正仿宋_GBK" w:hAnsi="方正仿宋_GBK" w:eastAsia="方正仿宋_GBK" w:cs="方正仿宋_GBK"/>
                <w:sz w:val="24"/>
                <w:szCs w:val="24"/>
              </w:rPr>
              <w:t>满足询价人对服务项目的考核标准。</w:t>
            </w:r>
          </w:p>
          <w:p>
            <w:pPr>
              <w:pStyle w:val="2"/>
              <w:spacing w:line="400" w:lineRule="exact"/>
              <w:ind w:firstLine="0" w:firstLineChars="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3、验收配合：配合完成本次</w:t>
            </w:r>
            <w:r>
              <w:rPr>
                <w:rFonts w:hint="eastAsia" w:ascii="方正仿宋_GBK" w:hAnsi="方正仿宋_GBK" w:eastAsia="方正仿宋_GBK" w:cs="方正仿宋_GBK"/>
                <w:sz w:val="24"/>
                <w:szCs w:val="24"/>
                <w:lang w:val="en-US" w:eastAsia="zh-CN"/>
              </w:rPr>
              <w:t>资产评估项目</w:t>
            </w:r>
            <w:r>
              <w:rPr>
                <w:rFonts w:hint="eastAsia" w:ascii="方正仿宋_GBK" w:hAnsi="方正仿宋_GBK" w:eastAsia="方正仿宋_GBK" w:cs="方正仿宋_GBK"/>
                <w:sz w:val="24"/>
                <w:szCs w:val="24"/>
              </w:rPr>
              <w:t>工作。</w:t>
            </w:r>
          </w:p>
          <w:p>
            <w:pPr>
              <w:pStyle w:val="2"/>
              <w:spacing w:line="400" w:lineRule="exact"/>
              <w:ind w:firstLine="0" w:firstLineChars="0"/>
              <w:jc w:val="left"/>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t>二、参加本次询价活动的供应商应当具备的条件</w:t>
            </w:r>
          </w:p>
          <w:p>
            <w:pPr>
              <w:pStyle w:val="2"/>
              <w:spacing w:line="400" w:lineRule="exact"/>
              <w:ind w:firstLine="0" w:firstLineChars="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1、具有独立承担民事责任的能力；</w:t>
            </w:r>
          </w:p>
          <w:p>
            <w:pPr>
              <w:pStyle w:val="2"/>
              <w:spacing w:line="400" w:lineRule="exact"/>
              <w:ind w:firstLine="0" w:firstLineChars="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2、具有良好的商业信誉和健全的财务会计制度；</w:t>
            </w:r>
          </w:p>
          <w:p>
            <w:pPr>
              <w:pStyle w:val="2"/>
              <w:spacing w:line="400" w:lineRule="exact"/>
              <w:ind w:firstLine="0" w:firstLineChars="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3、具有履行合同所必需的设备和专业技术能力；</w:t>
            </w:r>
          </w:p>
          <w:p>
            <w:pPr>
              <w:pStyle w:val="2"/>
              <w:spacing w:line="400" w:lineRule="exact"/>
              <w:ind w:firstLine="0" w:firstLineChars="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4、有依法缴纳税收和社会保障资金的良好记录；</w:t>
            </w:r>
          </w:p>
          <w:p>
            <w:pPr>
              <w:pStyle w:val="2"/>
              <w:spacing w:line="400" w:lineRule="exact"/>
              <w:ind w:firstLine="0" w:firstLineChars="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5、参加政府采购活动前三年内无重大违法记录；</w:t>
            </w:r>
          </w:p>
          <w:p>
            <w:pPr>
              <w:pStyle w:val="2"/>
              <w:spacing w:line="400" w:lineRule="exact"/>
              <w:ind w:firstLine="0" w:firstLineChars="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6、满足法律、行政法规规定的其他条件；</w:t>
            </w:r>
          </w:p>
          <w:p>
            <w:pPr>
              <w:pStyle w:val="2"/>
              <w:spacing w:line="400" w:lineRule="exact"/>
              <w:ind w:firstLine="0" w:firstLineChars="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7、本项目规定的特定资格条件：</w:t>
            </w:r>
          </w:p>
          <w:p>
            <w:pPr>
              <w:pStyle w:val="2"/>
              <w:spacing w:line="400" w:lineRule="exact"/>
              <w:ind w:firstLine="240" w:firstLineChars="10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w:t>
            </w:r>
            <w:r>
              <w:rPr>
                <w:rFonts w:hint="eastAsia" w:ascii="方正仿宋_GBK" w:hAnsi="方正仿宋_GBK" w:eastAsia="方正仿宋_GBK" w:cs="方正仿宋_GBK"/>
                <w:sz w:val="24"/>
                <w:szCs w:val="24"/>
                <w:lang w:val="en-US" w:eastAsia="zh-CN"/>
              </w:rPr>
              <w:t>为资产评估机构</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lang w:val="en-US" w:eastAsia="zh-CN"/>
              </w:rPr>
              <w:t>须提供财政行政主管部门备案的资产评估机构证明或资产评估资质证书，</w:t>
            </w:r>
            <w:r>
              <w:rPr>
                <w:rFonts w:hint="eastAsia" w:ascii="方正仿宋_GBK" w:hAnsi="方正仿宋_GBK" w:eastAsia="方正仿宋_GBK" w:cs="方正仿宋_GBK"/>
                <w:sz w:val="24"/>
                <w:szCs w:val="24"/>
              </w:rPr>
              <w:t>业务范围包含</w:t>
            </w:r>
            <w:r>
              <w:rPr>
                <w:rFonts w:hint="eastAsia" w:ascii="方正仿宋_GBK" w:hAnsi="方正仿宋_GBK" w:eastAsia="方正仿宋_GBK" w:cs="方正仿宋_GBK"/>
                <w:sz w:val="24"/>
                <w:szCs w:val="24"/>
                <w:lang w:val="en-US" w:eastAsia="zh-CN"/>
              </w:rPr>
              <w:t>资产评估</w:t>
            </w:r>
            <w:r>
              <w:rPr>
                <w:rFonts w:hint="eastAsia" w:ascii="方正仿宋_GBK" w:hAnsi="方正仿宋_GBK" w:eastAsia="方正仿宋_GBK" w:cs="方正仿宋_GBK"/>
                <w:sz w:val="24"/>
                <w:szCs w:val="24"/>
              </w:rPr>
              <w:t>。</w:t>
            </w:r>
          </w:p>
          <w:p>
            <w:pPr>
              <w:pStyle w:val="2"/>
              <w:spacing w:line="400" w:lineRule="exact"/>
              <w:ind w:firstLine="240" w:firstLineChars="100"/>
              <w:jc w:val="left"/>
              <w:rPr>
                <w:rFonts w:hint="eastAsia" w:eastAsia="宋体"/>
                <w:sz w:val="28"/>
                <w:szCs w:val="28"/>
              </w:rPr>
            </w:pPr>
            <w:r>
              <w:rPr>
                <w:rFonts w:hint="eastAsia" w:ascii="方正仿宋_GBK" w:hAnsi="方正仿宋_GBK" w:eastAsia="方正仿宋_GBK" w:cs="方正仿宋_GBK"/>
                <w:sz w:val="24"/>
                <w:szCs w:val="24"/>
              </w:rPr>
              <w:t>供应商安排提供服务的人员须为在册专职从业人员，具备有效的《</w:t>
            </w:r>
            <w:r>
              <w:rPr>
                <w:rFonts w:hint="eastAsia" w:ascii="方正仿宋_GBK" w:hAnsi="方正仿宋_GBK" w:eastAsia="方正仿宋_GBK" w:cs="方正仿宋_GBK"/>
                <w:sz w:val="24"/>
                <w:szCs w:val="24"/>
                <w:lang w:val="en-US" w:eastAsia="zh-CN"/>
              </w:rPr>
              <w:t>资产评估师正式执业会员证书</w:t>
            </w:r>
            <w:r>
              <w:rPr>
                <w:rFonts w:hint="eastAsia" w:ascii="方正仿宋_GBK" w:hAnsi="方正仿宋_GBK" w:eastAsia="方正仿宋_GBK" w:cs="方正仿宋_GBK"/>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005" w:type="dxa"/>
            <w:gridSpan w:val="2"/>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领取日期</w:t>
            </w:r>
          </w:p>
        </w:tc>
        <w:tc>
          <w:tcPr>
            <w:tcW w:w="8340" w:type="dxa"/>
            <w:gridSpan w:val="5"/>
            <w:vAlign w:val="center"/>
          </w:tcPr>
          <w:p>
            <w:pPr>
              <w:spacing w:line="560" w:lineRule="exact"/>
              <w:jc w:val="center"/>
              <w:rPr>
                <w:rFonts w:ascii="仿宋" w:hAnsi="仿宋" w:eastAsia="仿宋" w:cs="仿宋"/>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2005" w:type="dxa"/>
            <w:gridSpan w:val="2"/>
            <w:vAlign w:val="center"/>
          </w:tcPr>
          <w:p>
            <w:pPr>
              <w:spacing w:line="560" w:lineRule="exact"/>
              <w:jc w:val="center"/>
              <w:rPr>
                <w:rFonts w:ascii="仿宋" w:hAnsi="仿宋" w:eastAsia="仿宋" w:cs="仿宋"/>
                <w:sz w:val="28"/>
                <w:szCs w:val="28"/>
              </w:rPr>
            </w:pPr>
            <w:r>
              <w:rPr>
                <w:rFonts w:hint="eastAsia" w:ascii="仿宋" w:hAnsi="仿宋" w:eastAsia="仿宋" w:cs="仿宋"/>
                <w:sz w:val="28"/>
                <w:szCs w:val="28"/>
              </w:rPr>
              <w:t>供应商签字</w:t>
            </w:r>
          </w:p>
        </w:tc>
        <w:tc>
          <w:tcPr>
            <w:tcW w:w="8340" w:type="dxa"/>
            <w:gridSpan w:val="5"/>
            <w:vAlign w:val="center"/>
          </w:tcPr>
          <w:p>
            <w:pPr>
              <w:spacing w:line="560" w:lineRule="exact"/>
              <w:jc w:val="center"/>
              <w:rPr>
                <w:rFonts w:ascii="仿宋" w:hAnsi="仿宋" w:eastAsia="仿宋" w:cs="仿宋"/>
                <w:sz w:val="28"/>
                <w:szCs w:val="28"/>
              </w:rPr>
            </w:pPr>
          </w:p>
        </w:tc>
      </w:tr>
    </w:tbl>
    <w:p>
      <w:pPr>
        <w:jc w:val="left"/>
        <w:rPr>
          <w:rFonts w:ascii="Times New Roman" w:hAnsi="Times New Roman" w:eastAsia="仿宋" w:cs="Times New Roman"/>
          <w:sz w:val="32"/>
          <w:szCs w:val="32"/>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14"/>
        <w:widowControl/>
        <w:spacing w:beforeAutospacing="1" w:after="225" w:line="24" w:lineRule="atLeast"/>
        <w:rPr>
          <w:rFonts w:ascii="宋体" w:hAnsi="宋体" w:eastAsia="宋体" w:cs="宋体"/>
          <w:color w:val="888888"/>
          <w:kern w:val="0"/>
          <w:lang w:bidi="ar"/>
        </w:rPr>
      </w:pPr>
    </w:p>
    <w:sectPr>
      <w:footerReference r:id="rId3" w:type="default"/>
      <w:pgSz w:w="11906" w:h="16838"/>
      <w:pgMar w:top="1440" w:right="86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spacing w:line="14" w:lineRule="auto"/>
      <w:rPr>
        <w:sz w:val="12"/>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7116517"/>
    <w:multiLevelType w:val="singleLevel"/>
    <w:tmpl w:val="B7116517"/>
    <w:lvl w:ilvl="0" w:tentative="0">
      <w:start w:val="2"/>
      <w:numFmt w:val="decimal"/>
      <w:suff w:val="nothing"/>
      <w:lvlText w:val="%1、"/>
      <w:lvlJc w:val="left"/>
    </w:lvl>
  </w:abstractNum>
  <w:abstractNum w:abstractNumId="1">
    <w:nsid w:val="7C0F1A92"/>
    <w:multiLevelType w:val="multilevel"/>
    <w:tmpl w:val="7C0F1A92"/>
    <w:lvl w:ilvl="0" w:tentative="0">
      <w:start w:val="1"/>
      <w:numFmt w:val="decimalEnclosedCircle"/>
      <w:lvlText w:val="%1"/>
      <w:lvlJc w:val="left"/>
      <w:pPr>
        <w:ind w:left="360" w:hanging="360"/>
      </w:pPr>
      <w:rPr>
        <w:rFonts w:hint="default" w:ascii="方正仿宋_GBK" w:hAnsi="方正仿宋_GBK" w:eastAsia="方正仿宋_GBK" w:cs="方正仿宋_GBK"/>
        <w:sz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val="1"/>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lYzhhMTUwODkyZTg2OTlkZmJlYzg4ZWRmZGEwMjMifQ=="/>
  </w:docVars>
  <w:rsids>
    <w:rsidRoot w:val="00AB4B41"/>
    <w:rsid w:val="00062F69"/>
    <w:rsid w:val="00063B7F"/>
    <w:rsid w:val="0007462A"/>
    <w:rsid w:val="00080386"/>
    <w:rsid w:val="00096139"/>
    <w:rsid w:val="000C3D25"/>
    <w:rsid w:val="000D76A9"/>
    <w:rsid w:val="000F531D"/>
    <w:rsid w:val="001121E7"/>
    <w:rsid w:val="00117BC9"/>
    <w:rsid w:val="001205A8"/>
    <w:rsid w:val="00164833"/>
    <w:rsid w:val="001B47D8"/>
    <w:rsid w:val="001C6200"/>
    <w:rsid w:val="001D1517"/>
    <w:rsid w:val="001D189B"/>
    <w:rsid w:val="0023056D"/>
    <w:rsid w:val="00233D31"/>
    <w:rsid w:val="00246C33"/>
    <w:rsid w:val="002560B0"/>
    <w:rsid w:val="002A35A4"/>
    <w:rsid w:val="002E41E6"/>
    <w:rsid w:val="003115F9"/>
    <w:rsid w:val="0031461A"/>
    <w:rsid w:val="00316846"/>
    <w:rsid w:val="00316DA2"/>
    <w:rsid w:val="00321C1C"/>
    <w:rsid w:val="00353584"/>
    <w:rsid w:val="00360084"/>
    <w:rsid w:val="0036563F"/>
    <w:rsid w:val="003B38BB"/>
    <w:rsid w:val="003E3D40"/>
    <w:rsid w:val="00432712"/>
    <w:rsid w:val="0043744B"/>
    <w:rsid w:val="00442AC8"/>
    <w:rsid w:val="004C261E"/>
    <w:rsid w:val="004E74A9"/>
    <w:rsid w:val="004F0A33"/>
    <w:rsid w:val="004F39AD"/>
    <w:rsid w:val="004F4D96"/>
    <w:rsid w:val="005005C7"/>
    <w:rsid w:val="00505D6A"/>
    <w:rsid w:val="00555050"/>
    <w:rsid w:val="005A5E08"/>
    <w:rsid w:val="005E6913"/>
    <w:rsid w:val="005F66BC"/>
    <w:rsid w:val="00661C74"/>
    <w:rsid w:val="00665763"/>
    <w:rsid w:val="00682008"/>
    <w:rsid w:val="00687C4A"/>
    <w:rsid w:val="006A50B1"/>
    <w:rsid w:val="006B625A"/>
    <w:rsid w:val="006B68FA"/>
    <w:rsid w:val="006C3F19"/>
    <w:rsid w:val="006F24D6"/>
    <w:rsid w:val="0072542F"/>
    <w:rsid w:val="00731CA7"/>
    <w:rsid w:val="00735119"/>
    <w:rsid w:val="00757089"/>
    <w:rsid w:val="0076119D"/>
    <w:rsid w:val="00772429"/>
    <w:rsid w:val="00773DB1"/>
    <w:rsid w:val="00774C7E"/>
    <w:rsid w:val="007958E1"/>
    <w:rsid w:val="007C0BA5"/>
    <w:rsid w:val="007C2CBE"/>
    <w:rsid w:val="007C3CA4"/>
    <w:rsid w:val="007C415E"/>
    <w:rsid w:val="007D2E9E"/>
    <w:rsid w:val="007D36EE"/>
    <w:rsid w:val="007D6196"/>
    <w:rsid w:val="007F26D2"/>
    <w:rsid w:val="007F64E1"/>
    <w:rsid w:val="0082422E"/>
    <w:rsid w:val="00877BFA"/>
    <w:rsid w:val="008D15BE"/>
    <w:rsid w:val="008F6FF8"/>
    <w:rsid w:val="00910730"/>
    <w:rsid w:val="00914F96"/>
    <w:rsid w:val="0098282C"/>
    <w:rsid w:val="009B1AC7"/>
    <w:rsid w:val="00A0737C"/>
    <w:rsid w:val="00A51A63"/>
    <w:rsid w:val="00AB206D"/>
    <w:rsid w:val="00AB4B41"/>
    <w:rsid w:val="00AC28E1"/>
    <w:rsid w:val="00AD6FA8"/>
    <w:rsid w:val="00AE71CB"/>
    <w:rsid w:val="00B10EFB"/>
    <w:rsid w:val="00B4411D"/>
    <w:rsid w:val="00B54D64"/>
    <w:rsid w:val="00B72FC6"/>
    <w:rsid w:val="00B91786"/>
    <w:rsid w:val="00BC54BA"/>
    <w:rsid w:val="00BD1077"/>
    <w:rsid w:val="00C54E79"/>
    <w:rsid w:val="00C62E85"/>
    <w:rsid w:val="00C6768D"/>
    <w:rsid w:val="00C913A4"/>
    <w:rsid w:val="00CA71EF"/>
    <w:rsid w:val="00CB05E6"/>
    <w:rsid w:val="00D0176E"/>
    <w:rsid w:val="00D03133"/>
    <w:rsid w:val="00D26CE2"/>
    <w:rsid w:val="00D26D09"/>
    <w:rsid w:val="00D33783"/>
    <w:rsid w:val="00D506A7"/>
    <w:rsid w:val="00D53F95"/>
    <w:rsid w:val="00D5435C"/>
    <w:rsid w:val="00D64F3B"/>
    <w:rsid w:val="00DA6850"/>
    <w:rsid w:val="00DD55E2"/>
    <w:rsid w:val="00E22AB2"/>
    <w:rsid w:val="00E230BA"/>
    <w:rsid w:val="00E811B8"/>
    <w:rsid w:val="00EA6411"/>
    <w:rsid w:val="00ED19E0"/>
    <w:rsid w:val="00F04AEC"/>
    <w:rsid w:val="00F06548"/>
    <w:rsid w:val="00F230DA"/>
    <w:rsid w:val="00FB40C1"/>
    <w:rsid w:val="00FD0253"/>
    <w:rsid w:val="00FF2E76"/>
    <w:rsid w:val="013F3D58"/>
    <w:rsid w:val="01705C18"/>
    <w:rsid w:val="01A403D9"/>
    <w:rsid w:val="01FD3F98"/>
    <w:rsid w:val="02972C0D"/>
    <w:rsid w:val="04B66FEF"/>
    <w:rsid w:val="04BA5F84"/>
    <w:rsid w:val="05A11881"/>
    <w:rsid w:val="06761308"/>
    <w:rsid w:val="07A743EE"/>
    <w:rsid w:val="07E053D6"/>
    <w:rsid w:val="07F767C4"/>
    <w:rsid w:val="09064843"/>
    <w:rsid w:val="0A224058"/>
    <w:rsid w:val="0A6041FC"/>
    <w:rsid w:val="0B0F2353"/>
    <w:rsid w:val="0B915DD3"/>
    <w:rsid w:val="0B932BEB"/>
    <w:rsid w:val="0C173BDC"/>
    <w:rsid w:val="0C2A011B"/>
    <w:rsid w:val="0F8C5D95"/>
    <w:rsid w:val="10B64DCB"/>
    <w:rsid w:val="10EC511C"/>
    <w:rsid w:val="12204BA2"/>
    <w:rsid w:val="12BC0A6E"/>
    <w:rsid w:val="130A57BE"/>
    <w:rsid w:val="149F3C99"/>
    <w:rsid w:val="14BA1D56"/>
    <w:rsid w:val="151913F5"/>
    <w:rsid w:val="15586168"/>
    <w:rsid w:val="15730E5C"/>
    <w:rsid w:val="16264AAD"/>
    <w:rsid w:val="16D72A3F"/>
    <w:rsid w:val="181D0C23"/>
    <w:rsid w:val="182063F6"/>
    <w:rsid w:val="18E76B75"/>
    <w:rsid w:val="192B65A5"/>
    <w:rsid w:val="193119A0"/>
    <w:rsid w:val="19AF2DE3"/>
    <w:rsid w:val="19B04B53"/>
    <w:rsid w:val="19E40F08"/>
    <w:rsid w:val="1A1D7949"/>
    <w:rsid w:val="1A6057DB"/>
    <w:rsid w:val="1C3B080F"/>
    <w:rsid w:val="1C3F23FA"/>
    <w:rsid w:val="1C672BAB"/>
    <w:rsid w:val="1C935A50"/>
    <w:rsid w:val="1D7715FA"/>
    <w:rsid w:val="1DCD5F51"/>
    <w:rsid w:val="1DF20B3F"/>
    <w:rsid w:val="1E0B16C3"/>
    <w:rsid w:val="1EA12701"/>
    <w:rsid w:val="1EA61F96"/>
    <w:rsid w:val="1F832F0F"/>
    <w:rsid w:val="203A198E"/>
    <w:rsid w:val="20BF6D05"/>
    <w:rsid w:val="20C276AF"/>
    <w:rsid w:val="21080EE5"/>
    <w:rsid w:val="211765FE"/>
    <w:rsid w:val="2152325D"/>
    <w:rsid w:val="23714F36"/>
    <w:rsid w:val="23A3466C"/>
    <w:rsid w:val="23D72F24"/>
    <w:rsid w:val="24BC6B5B"/>
    <w:rsid w:val="285459BF"/>
    <w:rsid w:val="2A152533"/>
    <w:rsid w:val="2B0C63E6"/>
    <w:rsid w:val="2B715362"/>
    <w:rsid w:val="2BC43059"/>
    <w:rsid w:val="2C016AA3"/>
    <w:rsid w:val="2C0D3F82"/>
    <w:rsid w:val="2C8922F7"/>
    <w:rsid w:val="2CDF7869"/>
    <w:rsid w:val="2DFD5AE3"/>
    <w:rsid w:val="2E1D414C"/>
    <w:rsid w:val="2E86055C"/>
    <w:rsid w:val="2EAD0B54"/>
    <w:rsid w:val="2EB25C12"/>
    <w:rsid w:val="2EE277DC"/>
    <w:rsid w:val="30656250"/>
    <w:rsid w:val="31461646"/>
    <w:rsid w:val="31A74A12"/>
    <w:rsid w:val="32313704"/>
    <w:rsid w:val="346F257B"/>
    <w:rsid w:val="359E0A75"/>
    <w:rsid w:val="36B2611A"/>
    <w:rsid w:val="38382CAF"/>
    <w:rsid w:val="388C6E31"/>
    <w:rsid w:val="39293B23"/>
    <w:rsid w:val="3A764A6E"/>
    <w:rsid w:val="3B3020E4"/>
    <w:rsid w:val="3D3948B1"/>
    <w:rsid w:val="3D51001B"/>
    <w:rsid w:val="3D510347"/>
    <w:rsid w:val="3DD7778C"/>
    <w:rsid w:val="3DDB4687"/>
    <w:rsid w:val="3DEF4962"/>
    <w:rsid w:val="407669DA"/>
    <w:rsid w:val="41190E43"/>
    <w:rsid w:val="43822B60"/>
    <w:rsid w:val="447F094F"/>
    <w:rsid w:val="45AA64B2"/>
    <w:rsid w:val="45D23867"/>
    <w:rsid w:val="46650BCD"/>
    <w:rsid w:val="46BA7E04"/>
    <w:rsid w:val="47165F42"/>
    <w:rsid w:val="4758645F"/>
    <w:rsid w:val="4AB075CC"/>
    <w:rsid w:val="4BC171B0"/>
    <w:rsid w:val="4BF4252D"/>
    <w:rsid w:val="4BF802A3"/>
    <w:rsid w:val="4CE26529"/>
    <w:rsid w:val="4D221310"/>
    <w:rsid w:val="4DE87283"/>
    <w:rsid w:val="4E1A5550"/>
    <w:rsid w:val="4F197D73"/>
    <w:rsid w:val="4F2E70FE"/>
    <w:rsid w:val="4F7B7816"/>
    <w:rsid w:val="50ED0212"/>
    <w:rsid w:val="51BD60CF"/>
    <w:rsid w:val="51CB2CE1"/>
    <w:rsid w:val="520A2E71"/>
    <w:rsid w:val="522D1654"/>
    <w:rsid w:val="534325E4"/>
    <w:rsid w:val="54E463B6"/>
    <w:rsid w:val="558D4DF4"/>
    <w:rsid w:val="55E20426"/>
    <w:rsid w:val="56B92192"/>
    <w:rsid w:val="56BD01CF"/>
    <w:rsid w:val="57AD588A"/>
    <w:rsid w:val="582F06A4"/>
    <w:rsid w:val="58B8209F"/>
    <w:rsid w:val="58BC4F84"/>
    <w:rsid w:val="5922389F"/>
    <w:rsid w:val="59252131"/>
    <w:rsid w:val="592D0851"/>
    <w:rsid w:val="592D46C1"/>
    <w:rsid w:val="59AC6A40"/>
    <w:rsid w:val="5BE42E59"/>
    <w:rsid w:val="5DB75812"/>
    <w:rsid w:val="603C715A"/>
    <w:rsid w:val="603E7759"/>
    <w:rsid w:val="623E5587"/>
    <w:rsid w:val="624F0668"/>
    <w:rsid w:val="627D441D"/>
    <w:rsid w:val="64014391"/>
    <w:rsid w:val="643F0060"/>
    <w:rsid w:val="64670B88"/>
    <w:rsid w:val="64DD2792"/>
    <w:rsid w:val="66426347"/>
    <w:rsid w:val="665D2F45"/>
    <w:rsid w:val="665E5149"/>
    <w:rsid w:val="67291D0B"/>
    <w:rsid w:val="67C74970"/>
    <w:rsid w:val="682F5F39"/>
    <w:rsid w:val="6A1B2E31"/>
    <w:rsid w:val="6AEF74BE"/>
    <w:rsid w:val="6B6A4134"/>
    <w:rsid w:val="6B73000F"/>
    <w:rsid w:val="6C4879E5"/>
    <w:rsid w:val="6D7A260A"/>
    <w:rsid w:val="6F2224DF"/>
    <w:rsid w:val="6F5E12A0"/>
    <w:rsid w:val="716002A5"/>
    <w:rsid w:val="73E22E36"/>
    <w:rsid w:val="743D21D4"/>
    <w:rsid w:val="74A63F8D"/>
    <w:rsid w:val="75A35E4A"/>
    <w:rsid w:val="766819F3"/>
    <w:rsid w:val="77814346"/>
    <w:rsid w:val="77A61209"/>
    <w:rsid w:val="781F48A4"/>
    <w:rsid w:val="78242619"/>
    <w:rsid w:val="78F05750"/>
    <w:rsid w:val="79B055D9"/>
    <w:rsid w:val="7A184559"/>
    <w:rsid w:val="7A7D5BBF"/>
    <w:rsid w:val="7D3739F3"/>
    <w:rsid w:val="7D3A79EF"/>
    <w:rsid w:val="7DA177CF"/>
    <w:rsid w:val="7DF9249D"/>
    <w:rsid w:val="7E2E398A"/>
    <w:rsid w:val="7E35462E"/>
    <w:rsid w:val="7F45595D"/>
    <w:rsid w:val="7F4F4697"/>
    <w:rsid w:val="7FCA63C8"/>
    <w:rsid w:val="7FF06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1"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9"/>
    <w:pPr>
      <w:spacing w:beforeAutospacing="1" w:afterAutospacing="1"/>
      <w:jc w:val="left"/>
      <w:outlineLvl w:val="0"/>
    </w:pPr>
    <w:rPr>
      <w:rFonts w:hint="eastAsia" w:ascii="宋体" w:hAnsi="宋体" w:eastAsia="宋体" w:cs="Times New Roman"/>
      <w:b/>
      <w:bCs/>
      <w:kern w:val="44"/>
      <w:sz w:val="48"/>
      <w:szCs w:val="48"/>
    </w:rPr>
  </w:style>
  <w:style w:type="paragraph" w:styleId="4">
    <w:name w:val="heading 2"/>
    <w:basedOn w:val="1"/>
    <w:next w:val="1"/>
    <w:qFormat/>
    <w:uiPriority w:val="1"/>
    <w:pPr>
      <w:ind w:left="641" w:hanging="401"/>
      <w:outlineLvl w:val="1"/>
    </w:pPr>
    <w:rPr>
      <w:sz w:val="32"/>
      <w:szCs w:val="32"/>
    </w:rPr>
  </w:style>
  <w:style w:type="paragraph" w:styleId="5">
    <w:name w:val="heading 3"/>
    <w:basedOn w:val="1"/>
    <w:next w:val="1"/>
    <w:semiHidden/>
    <w:unhideWhenUsed/>
    <w:qFormat/>
    <w:uiPriority w:val="9"/>
    <w:pPr>
      <w:spacing w:beforeAutospacing="1" w:afterAutospacing="1"/>
      <w:jc w:val="left"/>
      <w:outlineLvl w:val="2"/>
    </w:pPr>
    <w:rPr>
      <w:rFonts w:hint="eastAsia" w:ascii="宋体" w:hAnsi="宋体" w:eastAsia="宋体" w:cs="Times New Roman"/>
      <w:b/>
      <w:bCs/>
      <w:kern w:val="0"/>
      <w:sz w:val="27"/>
      <w:szCs w:val="27"/>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6">
    <w:name w:val="annotation text"/>
    <w:basedOn w:val="1"/>
    <w:semiHidden/>
    <w:unhideWhenUsed/>
    <w:qFormat/>
    <w:uiPriority w:val="99"/>
    <w:pPr>
      <w:jc w:val="left"/>
    </w:pPr>
  </w:style>
  <w:style w:type="paragraph" w:styleId="7">
    <w:name w:val="Body Text"/>
    <w:basedOn w:val="1"/>
    <w:unhideWhenUsed/>
    <w:qFormat/>
    <w:uiPriority w:val="99"/>
    <w:pPr>
      <w:spacing w:after="120"/>
    </w:pPr>
  </w:style>
  <w:style w:type="paragraph" w:styleId="8">
    <w:name w:val="Body Text Indent"/>
    <w:basedOn w:val="1"/>
    <w:unhideWhenUsed/>
    <w:qFormat/>
    <w:uiPriority w:val="0"/>
    <w:pPr>
      <w:spacing w:after="120"/>
      <w:ind w:left="420" w:leftChars="200"/>
    </w:pPr>
  </w:style>
  <w:style w:type="paragraph" w:styleId="9">
    <w:name w:val="Plain Text"/>
    <w:basedOn w:val="1"/>
    <w:qFormat/>
    <w:uiPriority w:val="0"/>
    <w:pPr>
      <w:autoSpaceDE w:val="0"/>
      <w:autoSpaceDN w:val="0"/>
      <w:adjustRightInd w:val="0"/>
    </w:pPr>
    <w:rPr>
      <w:rFonts w:ascii="宋体"/>
    </w:rPr>
  </w:style>
  <w:style w:type="paragraph" w:styleId="10">
    <w:name w:val="Body Text Indent 2"/>
    <w:basedOn w:val="1"/>
    <w:qFormat/>
    <w:uiPriority w:val="0"/>
    <w:pPr>
      <w:spacing w:after="120" w:line="480" w:lineRule="auto"/>
      <w:ind w:left="420" w:leftChars="200"/>
    </w:pPr>
  </w:style>
  <w:style w:type="paragraph" w:styleId="11">
    <w:name w:val="Balloon Text"/>
    <w:basedOn w:val="1"/>
    <w:link w:val="27"/>
    <w:semiHidden/>
    <w:unhideWhenUsed/>
    <w:qFormat/>
    <w:uiPriority w:val="99"/>
    <w:rPr>
      <w:sz w:val="18"/>
      <w:szCs w:val="18"/>
    </w:rPr>
  </w:style>
  <w:style w:type="paragraph" w:styleId="12">
    <w:name w:val="footer"/>
    <w:basedOn w:val="1"/>
    <w:unhideWhenUsed/>
    <w:qFormat/>
    <w:uiPriority w:val="99"/>
    <w:pPr>
      <w:tabs>
        <w:tab w:val="center" w:pos="4153"/>
        <w:tab w:val="right" w:pos="8306"/>
      </w:tabs>
      <w:snapToGrid w:val="0"/>
    </w:pPr>
    <w:rPr>
      <w:sz w:val="18"/>
      <w:szCs w:val="18"/>
    </w:rPr>
  </w:style>
  <w:style w:type="paragraph" w:styleId="13">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Normal (Web)"/>
    <w:basedOn w:val="1"/>
    <w:qFormat/>
    <w:uiPriority w:val="0"/>
    <w:rPr>
      <w:rFonts w:ascii="Times New Roman" w:hAnsi="Times New Roman"/>
      <w:sz w:val="24"/>
      <w:szCs w:val="24"/>
    </w:rPr>
  </w:style>
  <w:style w:type="paragraph" w:styleId="15">
    <w:name w:val="Body Text First Indent"/>
    <w:basedOn w:val="7"/>
    <w:qFormat/>
    <w:uiPriority w:val="0"/>
    <w:pPr>
      <w:ind w:firstLine="420" w:firstLineChars="100"/>
      <w:jc w:val="left"/>
    </w:pPr>
    <w:rPr>
      <w:rFonts w:ascii="Calibri" w:hAnsi="Calibri"/>
    </w:rPr>
  </w:style>
  <w:style w:type="paragraph" w:styleId="16">
    <w:name w:val="Body Text First Indent 2"/>
    <w:basedOn w:val="8"/>
    <w:qFormat/>
    <w:uiPriority w:val="0"/>
    <w:pPr>
      <w:ind w:firstLine="420" w:firstLineChars="200"/>
    </w:pPr>
    <w:rPr>
      <w:szCs w:val="20"/>
    </w:rPr>
  </w:style>
  <w:style w:type="character" w:styleId="19">
    <w:name w:val="Strong"/>
    <w:basedOn w:val="18"/>
    <w:qFormat/>
    <w:uiPriority w:val="22"/>
    <w:rPr>
      <w:b/>
    </w:rPr>
  </w:style>
  <w:style w:type="character" w:styleId="20">
    <w:name w:val="page number"/>
    <w:basedOn w:val="18"/>
    <w:qFormat/>
    <w:uiPriority w:val="0"/>
  </w:style>
  <w:style w:type="character" w:styleId="21">
    <w:name w:val="FollowedHyperlink"/>
    <w:basedOn w:val="18"/>
    <w:semiHidden/>
    <w:unhideWhenUsed/>
    <w:qFormat/>
    <w:uiPriority w:val="99"/>
    <w:rPr>
      <w:color w:val="800080"/>
      <w:u w:val="none"/>
    </w:rPr>
  </w:style>
  <w:style w:type="character" w:styleId="22">
    <w:name w:val="Emphasis"/>
    <w:basedOn w:val="18"/>
    <w:qFormat/>
    <w:uiPriority w:val="20"/>
    <w:rPr>
      <w:i/>
    </w:rPr>
  </w:style>
  <w:style w:type="character" w:styleId="23">
    <w:name w:val="Hyperlink"/>
    <w:basedOn w:val="18"/>
    <w:semiHidden/>
    <w:unhideWhenUsed/>
    <w:qFormat/>
    <w:uiPriority w:val="99"/>
    <w:rPr>
      <w:color w:val="0000FF"/>
      <w:u w:val="none"/>
    </w:rPr>
  </w:style>
  <w:style w:type="character" w:styleId="24">
    <w:name w:val="annotation reference"/>
    <w:basedOn w:val="18"/>
    <w:semiHidden/>
    <w:unhideWhenUsed/>
    <w:qFormat/>
    <w:uiPriority w:val="99"/>
    <w:rPr>
      <w:sz w:val="21"/>
      <w:szCs w:val="21"/>
    </w:rPr>
  </w:style>
  <w:style w:type="paragraph" w:customStyle="1" w:styleId="25">
    <w:name w:val="正文文本缩进 2 Char Char"/>
    <w:basedOn w:val="1"/>
    <w:qFormat/>
    <w:uiPriority w:val="0"/>
    <w:pPr>
      <w:spacing w:line="480" w:lineRule="exact"/>
      <w:ind w:firstLine="560" w:firstLineChars="200"/>
    </w:pPr>
    <w:rPr>
      <w:rFonts w:ascii="Calibri" w:hAnsi="Calibri" w:eastAsia="宋体" w:cs="Times New Roman"/>
      <w:szCs w:val="21"/>
    </w:rPr>
  </w:style>
  <w:style w:type="paragraph" w:styleId="26">
    <w:name w:val="List Paragraph"/>
    <w:basedOn w:val="1"/>
    <w:qFormat/>
    <w:uiPriority w:val="34"/>
    <w:pPr>
      <w:ind w:firstLine="420" w:firstLineChars="200"/>
    </w:pPr>
  </w:style>
  <w:style w:type="character" w:customStyle="1" w:styleId="27">
    <w:name w:val="批注框文本 字符"/>
    <w:basedOn w:val="18"/>
    <w:link w:val="11"/>
    <w:semiHidden/>
    <w:qFormat/>
    <w:uiPriority w:val="99"/>
    <w:rPr>
      <w:rFonts w:asciiTheme="minorHAnsi" w:hAnsiTheme="minorHAnsi" w:eastAsiaTheme="minorEastAsia" w:cstheme="minorBidi"/>
      <w:kern w:val="2"/>
      <w:sz w:val="18"/>
      <w:szCs w:val="18"/>
    </w:rPr>
  </w:style>
  <w:style w:type="paragraph" w:customStyle="1" w:styleId="28">
    <w:name w:val="UserStyle_61"/>
    <w:basedOn w:val="1"/>
    <w:qFormat/>
    <w:uiPriority w:val="0"/>
    <w:pPr>
      <w:widowControl/>
      <w:spacing w:before="120" w:after="120" w:line="300" w:lineRule="auto"/>
    </w:pPr>
    <w:rPr>
      <w:rFonts w:ascii="宋体" w:hAnsi="宋体" w:eastAsia="宋体" w:cs="Times New Roman"/>
      <w:b/>
      <w:sz w:val="24"/>
    </w:rPr>
  </w:style>
  <w:style w:type="character" w:customStyle="1" w:styleId="29">
    <w:name w:val="NormalCharact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3</Pages>
  <Words>132</Words>
  <Characters>753</Characters>
  <Lines>6</Lines>
  <Paragraphs>1</Paragraphs>
  <TotalTime>88</TotalTime>
  <ScaleCrop>false</ScaleCrop>
  <LinksUpToDate>false</LinksUpToDate>
  <CharactersWithSpaces>884</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2021-04-27T02:19:00Z</dcterms:created>
  <dc:creator>User</dc:creator>
  <cp:lastModifiedBy>xyh</cp:lastModifiedBy>
  <cp:lastPrinted>2026-03-25T06:53:00Z</cp:lastPrinted>
  <dcterms:modified xsi:type="dcterms:W3CDTF">2026-08-17T06:15:55Z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402763B5BE0F4E96B7C0C6B1BFE176A5</vt:lpwstr>
  </property>
  <property fmtid="{D5CDD505-2E9C-101B-9397-08002B2CF9AE}" pid="4" name="KSOTemplateDocerSaveRecord">
    <vt:lpwstr>eyJoZGlkIjoiNWRlYzhhMTUwODkyZTg2OTlkZmJlYzg4ZWRmZGEwMjMiLCJ1c2VySWQiOiI3NTQ1NTE1NTkifQ==</vt:lpwstr>
  </property>
</Properties>
</file>