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6F012">
      <w:pPr>
        <w:pStyle w:val="2"/>
        <w:ind w:left="0" w:leftChars="0" w:firstLine="0" w:firstLineChars="0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附件1</w:t>
      </w:r>
    </w:p>
    <w:p w14:paraId="59CD589C">
      <w:pPr>
        <w:jc w:val="center"/>
        <w:rPr>
          <w:rFonts w:hint="eastAsia" w:ascii="方正小标宋_GBK" w:hAnsi="方正小标宋_GBK" w:eastAsia="方正小标宋_GBK" w:cs="方正小标宋_GBK"/>
          <w:sz w:val="44"/>
          <w:szCs w:val="5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服务需求</w:t>
      </w:r>
    </w:p>
    <w:p w14:paraId="59471068">
      <w:pPr>
        <w:numPr>
          <w:ilvl w:val="0"/>
          <w:numId w:val="1"/>
        </w:numPr>
        <w:ind w:firstLine="640" w:firstLineChars="200"/>
        <w:rPr>
          <w:rFonts w:hint="eastAsia" w:ascii="方正黑体_GBK" w:hAnsi="方正黑体_GBK" w:eastAsia="方正黑体_GBK" w:cs="方正黑体_GBK"/>
          <w:sz w:val="32"/>
          <w:szCs w:val="40"/>
        </w:rPr>
      </w:pPr>
      <w:r>
        <w:rPr>
          <w:rFonts w:hint="eastAsia" w:ascii="方正黑体_GBK" w:hAnsi="方正黑体_GBK" w:eastAsia="方正黑体_GBK" w:cs="方正黑体_GBK"/>
          <w:sz w:val="32"/>
          <w:szCs w:val="40"/>
        </w:rPr>
        <w:t>项目概述</w:t>
      </w:r>
    </w:p>
    <w:p w14:paraId="273AA7EE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40"/>
        </w:rPr>
      </w:pPr>
      <w:r>
        <w:rPr>
          <w:rFonts w:hint="eastAsia" w:ascii="方正楷体_GBK" w:hAnsi="方正楷体_GBK" w:eastAsia="方正楷体_GBK" w:cs="方正楷体_GBK"/>
          <w:sz w:val="32"/>
          <w:szCs w:val="40"/>
        </w:rPr>
        <w:t>（一）项目名称</w:t>
      </w:r>
    </w:p>
    <w:p w14:paraId="401260C1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40"/>
        </w:rPr>
      </w:pPr>
      <w:r>
        <w:rPr>
          <w:rFonts w:hint="eastAsia" w:ascii="方正仿宋_GBK" w:hAnsi="方正仿宋_GBK" w:eastAsia="方正仿宋_GBK" w:cs="方正仿宋_GBK"/>
          <w:sz w:val="32"/>
          <w:szCs w:val="40"/>
        </w:rPr>
        <w:t>锦里文化旅游街区安保服务采购项目</w:t>
      </w:r>
    </w:p>
    <w:p w14:paraId="54382ABA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40"/>
        </w:rPr>
      </w:pPr>
      <w:r>
        <w:rPr>
          <w:rFonts w:hint="eastAsia" w:ascii="方正楷体_GBK" w:hAnsi="方正楷体_GBK" w:eastAsia="方正楷体_GBK" w:cs="方正楷体_GBK"/>
          <w:sz w:val="32"/>
          <w:szCs w:val="40"/>
        </w:rPr>
        <w:t>（二）项目背景</w:t>
      </w:r>
    </w:p>
    <w:p w14:paraId="0A4F3798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方正仿宋_GBK" w:hAnsi="方正仿宋_GBK" w:eastAsia="方正仿宋_GBK" w:cs="方正仿宋_GBK"/>
          <w:sz w:val="32"/>
          <w:szCs w:val="40"/>
        </w:rPr>
        <w:t>锦里文化旅游街区是成都知名的文旅地标，依托武侯祠三国文化资源，致力于打造集文化体验、旅游观光、休闲消费于一体的特色文化旅游街区。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日常游客流量大，节假日、大庙会期间人流高度聚集，街区业态复杂、点位分散，存在人员疏导、治安防范、消防管控、突发事件处置等安保工作压力。为维护街区正常游览经营秩序，保障游客人身财产安全、街区公共设施安全，防范各类安全风险，通过采购专业安保服务，组建专职安保服务团队，落实全天候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安保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、安防监控、定点值守、片区网格巡逻、应急处置等工作，保障街区安全平稳运行。</w:t>
      </w:r>
    </w:p>
    <w:p w14:paraId="58B7768A">
      <w:pPr>
        <w:ind w:firstLine="640" w:firstLineChars="200"/>
        <w:rPr>
          <w:rFonts w:ascii="方正楷体_GBK" w:hAnsi="方正楷体_GBK" w:eastAsia="方正楷体_GBK" w:cs="方正楷体_GBK"/>
          <w:sz w:val="32"/>
          <w:szCs w:val="40"/>
        </w:rPr>
      </w:pPr>
      <w:r>
        <w:rPr>
          <w:rFonts w:hint="eastAsia" w:ascii="方正楷体_GBK" w:hAnsi="方正楷体_GBK" w:eastAsia="方正楷体_GBK" w:cs="方正楷体_GBK"/>
          <w:sz w:val="32"/>
          <w:szCs w:val="40"/>
        </w:rPr>
        <w:t>（三）服务期限</w:t>
      </w:r>
    </w:p>
    <w:p w14:paraId="3921271B">
      <w:pPr>
        <w:ind w:firstLine="640" w:firstLineChars="200"/>
        <w:rPr>
          <w:sz w:val="32"/>
          <w:szCs w:val="40"/>
        </w:rPr>
      </w:pPr>
      <w:r>
        <w:rPr>
          <w:rFonts w:ascii="Times New Roman" w:hAnsi="Times New Roman" w:eastAsia="方正仿宋_GBK" w:cs="Times New Roman"/>
          <w:sz w:val="32"/>
          <w:szCs w:val="40"/>
        </w:rPr>
        <w:t>本项目服务期限为2年，合</w:t>
      </w:r>
      <w:r>
        <w:rPr>
          <w:rFonts w:hint="eastAsia" w:ascii="方正仿宋_GBK" w:hAnsi="方正仿宋_GBK" w:eastAsia="方正仿宋_GBK" w:cs="方正仿宋_GBK"/>
          <w:sz w:val="32"/>
          <w:szCs w:val="40"/>
        </w:rPr>
        <w:t>同一年一签。每年合同到期前，我馆对供应商当年服务情况进行综合考核评估，考核合格的续签下一年度合同；考核不合格的，我馆有权终止合同。</w:t>
      </w:r>
    </w:p>
    <w:p w14:paraId="4EE1686E">
      <w:pPr>
        <w:ind w:firstLine="640" w:firstLineChars="200"/>
        <w:rPr>
          <w:rFonts w:ascii="方正楷体_GBK" w:hAnsi="方正楷体_GBK" w:eastAsia="方正楷体_GBK" w:cs="方正楷体_GBK"/>
          <w:sz w:val="32"/>
          <w:szCs w:val="40"/>
        </w:rPr>
      </w:pPr>
      <w:r>
        <w:rPr>
          <w:rFonts w:hint="eastAsia" w:ascii="方正楷体_GBK" w:hAnsi="方正楷体_GBK" w:eastAsia="方正楷体_GBK" w:cs="方正楷体_GBK"/>
          <w:sz w:val="32"/>
          <w:szCs w:val="40"/>
        </w:rPr>
        <w:t>（四）项目依据</w:t>
      </w:r>
    </w:p>
    <w:p w14:paraId="473E42AA">
      <w:pPr>
        <w:ind w:firstLine="640" w:firstLineChars="200"/>
        <w:rPr>
          <w:rFonts w:hint="eastAsia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依据《企事业单位内部治安保卫条例》《消防法》《大型群众性活动安全管理条例》，锦里街区安全管理相关管理制度，结合街区实际运营现状开展安保服务工作。</w:t>
      </w:r>
      <w:r>
        <w:rPr>
          <w:rFonts w:ascii="Times New Roman" w:hAnsi="Times New Roman" w:eastAsia="方正仿宋_GBK" w:cs="Times New Roman"/>
          <w:sz w:val="32"/>
          <w:szCs w:val="40"/>
        </w:rPr>
        <w:t>本项目采购需求依据《中华人民共和国政府采购法》《中华人民共和国政府采购法实施条例》及《政府采购需求管理办法》（财库〔2021〕22号）等法律法规编制。</w:t>
      </w:r>
    </w:p>
    <w:p w14:paraId="619A9FE5">
      <w:pPr>
        <w:ind w:firstLine="640" w:firstLineChars="200"/>
        <w:rPr>
          <w:rFonts w:hint="eastAsia" w:ascii="方正黑体_GBK" w:hAnsi="方正黑体_GBK" w:eastAsia="方正黑体_GBK" w:cs="方正黑体_GBK"/>
          <w:sz w:val="32"/>
          <w:szCs w:val="40"/>
        </w:rPr>
      </w:pPr>
      <w:r>
        <w:rPr>
          <w:rFonts w:hint="eastAsia" w:ascii="方正黑体_GBK" w:hAnsi="方正黑体_GBK" w:eastAsia="方正黑体_GBK" w:cs="方正黑体_GBK"/>
          <w:sz w:val="32"/>
          <w:szCs w:val="40"/>
        </w:rPr>
        <w:t>二、服务范围与服务内容</w:t>
      </w:r>
    </w:p>
    <w:p w14:paraId="5EA1FA28">
      <w:pPr>
        <w:ind w:firstLine="640" w:firstLineChars="200"/>
        <w:rPr>
          <w:rFonts w:ascii="方正楷体_GBK" w:hAnsi="方正楷体_GBK" w:eastAsia="方正楷体_GBK" w:cs="方正楷体_GBK"/>
          <w:sz w:val="32"/>
          <w:szCs w:val="40"/>
        </w:rPr>
      </w:pPr>
      <w:r>
        <w:rPr>
          <w:rFonts w:hint="eastAsia" w:ascii="方正楷体_GBK" w:hAnsi="方正楷体_GBK" w:eastAsia="方正楷体_GBK" w:cs="方正楷体_GBK"/>
          <w:sz w:val="32"/>
          <w:szCs w:val="40"/>
        </w:rPr>
        <w:t>（一）服务范围</w:t>
      </w:r>
    </w:p>
    <w:p w14:paraId="25BD1072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锦里文化旅游街区全域范围，包含街区出入口大门、各商业空间、地下室、牌坊、古戏楼、微型消防站、各网格片区、街区公共通道、监控中控室等区域；覆盖日常运营、夜间闭店值守、节假日、大庙会等重大活动期间全部安保作业区域。</w:t>
      </w:r>
    </w:p>
    <w:p w14:paraId="081D270E">
      <w:pPr>
        <w:ind w:firstLine="640" w:firstLineChars="200"/>
        <w:rPr>
          <w:rFonts w:ascii="方正楷体_GBK" w:hAnsi="方正楷体_GBK" w:eastAsia="方正楷体_GBK" w:cs="方正楷体_GBK"/>
          <w:sz w:val="32"/>
          <w:szCs w:val="40"/>
        </w:rPr>
      </w:pPr>
      <w:r>
        <w:rPr>
          <w:rFonts w:hint="eastAsia" w:ascii="方正楷体_GBK" w:hAnsi="方正楷体_GBK" w:eastAsia="方正楷体_GBK" w:cs="方正楷体_GBK"/>
          <w:sz w:val="32"/>
          <w:szCs w:val="40"/>
        </w:rPr>
        <w:t>（二）主要服务内容</w:t>
      </w:r>
    </w:p>
    <w:p w14:paraId="616FF084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1. 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安保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管理：街区游客秩序疏导，人流高峰分流管控，劝导不文明游览行为，维护商铺周边公共秩序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包括但不限于装修管理、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营业时间监督、经营行为规范、明码标价监督等，处理游客简单纠纷。</w:t>
      </w:r>
    </w:p>
    <w:p w14:paraId="1E6AED25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2. 安防监控值守：安全技术防范监控岗24小时在岗，实时查看监控画面，接收各类报警信号，做好监控台账记录；在岗人员须持有消防设施监控操作资格证书，发现异常第一时间通报现场安保人员处置。</w:t>
      </w:r>
    </w:p>
    <w:p w14:paraId="07185B38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3. 网格片区值守巡逻：划分网格片区定岗定人，开展街区定点值守与动态巡逻；大门、小木屋、微型消防站实行24小时不间断值守；夜间增加街区巡逻岗，做好闭店后街区安防巡查，排查安全隐患。</w:t>
      </w:r>
    </w:p>
    <w:p w14:paraId="4C701E5A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4. 微型消防站值守：微型消防站岗位人员在岗待命，开展日常消防隐患排查，熟悉街区消防设施，发生火情第一时间开展初期火灾处置，配合消防救援部门工作。</w:t>
      </w:r>
    </w:p>
    <w:p w14:paraId="04494694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5. 机动应急处置：设置机动岗，应对突发人流、突发事件、游客求助、现场突发纠纷，随时支援各岗位；做好NPC机动配合工作。</w:t>
      </w:r>
    </w:p>
    <w:p w14:paraId="0A25541E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6. 资料内勤岗位：负责安保台账整理、值班记录、人员登记、资料归档，做好安保各类资料留存。</w:t>
      </w:r>
    </w:p>
    <w:p w14:paraId="2DC36D73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7. 重大活动临勤保障：全年节假日约25天临勤安保保障；大庙会全年约18天专项临勤安保，根据活动人流增加安保力量，落实活动现场安全管控。</w:t>
      </w:r>
    </w:p>
    <w:p w14:paraId="7142A14C">
      <w:pPr>
        <w:ind w:firstLine="640" w:firstLineChars="200"/>
        <w:rPr>
          <w:rFonts w:hint="eastAsia" w:ascii="方正黑体_GBK" w:hAnsi="方正楷体_GBK" w:eastAsia="方正黑体_GBK" w:cs="方正楷体_GBK"/>
          <w:sz w:val="32"/>
          <w:szCs w:val="40"/>
        </w:rPr>
      </w:pPr>
      <w:r>
        <w:rPr>
          <w:rFonts w:hint="eastAsia" w:ascii="方正黑体_GBK" w:hAnsi="方正楷体_GBK" w:eastAsia="方正黑体_GBK" w:cs="方正楷体_GBK"/>
          <w:sz w:val="32"/>
          <w:szCs w:val="40"/>
        </w:rPr>
        <w:t>三、人员配置情况</w:t>
      </w:r>
    </w:p>
    <w:p w14:paraId="2432D653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资格条件：安保人员年龄不超过55周岁；监控岗人员须具备消防设施监控操作资格证；每班至少配备1名女性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安保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人员；所有安保人员统一着装，岗前培训合格上岗。</w:t>
      </w:r>
    </w:p>
    <w:tbl>
      <w:tblPr>
        <w:tblStyle w:val="5"/>
        <w:tblW w:w="0" w:type="auto"/>
        <w:tblInd w:w="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2835"/>
        <w:gridCol w:w="961"/>
        <w:gridCol w:w="2725"/>
      </w:tblGrid>
      <w:tr w14:paraId="34BC2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73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34DBDD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  <w:p w14:paraId="6493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  <w:p w14:paraId="7AAC18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早班</w:t>
            </w:r>
          </w:p>
          <w:p w14:paraId="372911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（08：00-16：00）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D88A5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楷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安保</w:t>
            </w: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管理岗</w:t>
            </w:r>
          </w:p>
        </w:tc>
        <w:tc>
          <w:tcPr>
            <w:tcW w:w="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E4EE2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2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735FA7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1.安保人员年龄不超过55岁；</w:t>
            </w:r>
          </w:p>
          <w:p w14:paraId="379913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2.每班至少配备1名女性</w:t>
            </w:r>
            <w:r>
              <w:rPr>
                <w:rFonts w:hint="eastAsia" w:ascii="Times New Roman" w:hAnsi="Times New Roman" w:eastAsia="楷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安保</w:t>
            </w: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人员；</w:t>
            </w:r>
          </w:p>
          <w:p w14:paraId="0698F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3.安全技术防范监控岗必须具备消防设施监控操作资格证。</w:t>
            </w:r>
          </w:p>
        </w:tc>
      </w:tr>
      <w:tr w14:paraId="2502C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731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31C948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1E2EF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安全技术防范监控岗</w:t>
            </w:r>
          </w:p>
        </w:tc>
        <w:tc>
          <w:tcPr>
            <w:tcW w:w="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A0F51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25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48ACB7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4C78C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731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777B0E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6E691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网格片区岗位</w:t>
            </w:r>
          </w:p>
        </w:tc>
        <w:tc>
          <w:tcPr>
            <w:tcW w:w="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65DEE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725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2C9E35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5CA86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731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4FCB9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0299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大门值守岗</w:t>
            </w:r>
          </w:p>
        </w:tc>
        <w:tc>
          <w:tcPr>
            <w:tcW w:w="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723BF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25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616437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088A2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731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434D6B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C196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微型消防站值守岗</w:t>
            </w:r>
          </w:p>
        </w:tc>
        <w:tc>
          <w:tcPr>
            <w:tcW w:w="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5EF0E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725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7F089D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0F270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731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37FDF9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54B3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小木屋牌坊值守岗</w:t>
            </w:r>
          </w:p>
        </w:tc>
        <w:tc>
          <w:tcPr>
            <w:tcW w:w="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2DD78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725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155F9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5A0DB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731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82E97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E8943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机动岗（NPC）</w:t>
            </w:r>
          </w:p>
        </w:tc>
        <w:tc>
          <w:tcPr>
            <w:tcW w:w="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2EEDA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25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305222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140FF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73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55FFED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  <w:p w14:paraId="2BCC70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  <w:p w14:paraId="5C4D7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中班</w:t>
            </w:r>
          </w:p>
          <w:p w14:paraId="234E98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（16：00-24：00）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9454C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楷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安保</w:t>
            </w: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管理岗</w:t>
            </w:r>
          </w:p>
        </w:tc>
        <w:tc>
          <w:tcPr>
            <w:tcW w:w="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2A2B6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25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074C45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7E55F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731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44782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18DA0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安全技术防范监控岗</w:t>
            </w:r>
          </w:p>
        </w:tc>
        <w:tc>
          <w:tcPr>
            <w:tcW w:w="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1599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25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253506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510C7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731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426888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F5A78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网格片区岗位</w:t>
            </w:r>
          </w:p>
        </w:tc>
        <w:tc>
          <w:tcPr>
            <w:tcW w:w="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CD02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725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283D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460EB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731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671817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24385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大门值守岗</w:t>
            </w:r>
          </w:p>
        </w:tc>
        <w:tc>
          <w:tcPr>
            <w:tcW w:w="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357CC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25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2A5CD2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39E05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731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3EAAA8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40528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微型消防站值守岗</w:t>
            </w:r>
          </w:p>
        </w:tc>
        <w:tc>
          <w:tcPr>
            <w:tcW w:w="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4FF83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725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196103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515DD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731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6EA03E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4904D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小木屋牌坊值守岗</w:t>
            </w:r>
          </w:p>
        </w:tc>
        <w:tc>
          <w:tcPr>
            <w:tcW w:w="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EF666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725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4DBC71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43C6B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731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84237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F699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机动岗（NPC）</w:t>
            </w:r>
          </w:p>
        </w:tc>
        <w:tc>
          <w:tcPr>
            <w:tcW w:w="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131D7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25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002919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31232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73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04AB5E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  <w:p w14:paraId="61DAFB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  <w:p w14:paraId="3A1C7F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晚班</w:t>
            </w:r>
          </w:p>
          <w:p w14:paraId="7248AB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（00：00-08：00）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8E1B3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楷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安保</w:t>
            </w: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管理岗</w:t>
            </w:r>
          </w:p>
        </w:tc>
        <w:tc>
          <w:tcPr>
            <w:tcW w:w="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5B4A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725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6ECC5D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71D0A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731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2D6B73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E48B6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安全技术防范监控岗</w:t>
            </w:r>
          </w:p>
        </w:tc>
        <w:tc>
          <w:tcPr>
            <w:tcW w:w="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682EF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25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383204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38458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731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6DDA1A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3474B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大门值守岗</w:t>
            </w:r>
          </w:p>
        </w:tc>
        <w:tc>
          <w:tcPr>
            <w:tcW w:w="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13260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25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449C39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3B0D0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731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5F9EE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EA78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微型消防站值守岗</w:t>
            </w:r>
          </w:p>
        </w:tc>
        <w:tc>
          <w:tcPr>
            <w:tcW w:w="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BE389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725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531080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3A194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731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7D521F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29B82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小木屋牌坊值守岗</w:t>
            </w:r>
          </w:p>
        </w:tc>
        <w:tc>
          <w:tcPr>
            <w:tcW w:w="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2E365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725" w:type="dxa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58AB2E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0A618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731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7462C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A13A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街区巡逻岗</w:t>
            </w:r>
          </w:p>
        </w:tc>
        <w:tc>
          <w:tcPr>
            <w:tcW w:w="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EFC01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72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4DCEC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59499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45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6E25B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bookmarkStart w:id="0" w:name="OLE_LINK1"/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资料岗</w:t>
            </w:r>
            <w:bookmarkEnd w:id="0"/>
          </w:p>
        </w:tc>
        <w:tc>
          <w:tcPr>
            <w:tcW w:w="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4D18C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603C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4381D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45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6505B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节假日临勤(全年约25天）</w:t>
            </w:r>
          </w:p>
        </w:tc>
        <w:tc>
          <w:tcPr>
            <w:tcW w:w="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DDF77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500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0F434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17CD2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45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6AAF1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大庙会临勤（全年约18天）</w:t>
            </w:r>
          </w:p>
        </w:tc>
        <w:tc>
          <w:tcPr>
            <w:tcW w:w="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4C781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  <w:t>360</w:t>
            </w:r>
          </w:p>
        </w:tc>
        <w:tc>
          <w:tcPr>
            <w:tcW w:w="2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4B17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2"/>
                <w:szCs w:val="22"/>
              </w:rPr>
            </w:pPr>
          </w:p>
        </w:tc>
      </w:tr>
    </w:tbl>
    <w:p w14:paraId="319CE1FC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节假日、大庙会临勤为按需调用，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供应商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需具备充足临时安保储备人员，保障重大活动可及时增派人员到岗。</w:t>
      </w:r>
    </w:p>
    <w:p w14:paraId="0C6C5204">
      <w:pPr>
        <w:ind w:firstLine="640" w:firstLineChars="200"/>
        <w:rPr>
          <w:rFonts w:hint="eastAsia" w:ascii="方正黑体_GBK" w:hAnsi="Times New Roman" w:eastAsia="方正黑体_GBK" w:cs="Times New Roman"/>
          <w:sz w:val="32"/>
          <w:szCs w:val="40"/>
        </w:rPr>
      </w:pPr>
      <w:r>
        <w:rPr>
          <w:rFonts w:hint="eastAsia" w:ascii="方正黑体_GBK" w:hAnsi="Times New Roman" w:eastAsia="方正黑体_GBK" w:cs="Times New Roman"/>
          <w:sz w:val="32"/>
          <w:szCs w:val="40"/>
        </w:rPr>
        <w:t>四、具体要求</w:t>
      </w:r>
    </w:p>
    <w:p w14:paraId="2213F9D4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40"/>
        </w:rPr>
      </w:pPr>
      <w:r>
        <w:rPr>
          <w:rFonts w:hint="eastAsia" w:ascii="方正楷体_GBK" w:hAnsi="方正楷体_GBK" w:eastAsia="方正楷体_GBK" w:cs="方正楷体_GBK"/>
          <w:sz w:val="32"/>
          <w:szCs w:val="40"/>
        </w:rPr>
        <w:t>（一）资质与能力要求</w:t>
      </w:r>
    </w:p>
    <w:p w14:paraId="0A21B029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1.供应商须为在中华人民共和国境内注册，具有独立法人资格的企业；</w:t>
      </w:r>
    </w:p>
    <w:p w14:paraId="3100E777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2.具有良好的商业信誉和健全的财务会计制度；</w:t>
      </w:r>
    </w:p>
    <w:p w14:paraId="3F858163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3.具有依法缴纳税收和社会保障资金的良好记录；</w:t>
      </w:r>
    </w:p>
    <w:p w14:paraId="6E1220ED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4.参加本次采购活动前三年内，在经营活动中没有重大违法记录；</w:t>
      </w:r>
    </w:p>
    <w:p w14:paraId="2BACDB8D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5.未被列入失信被执行人名单、重大税收违法案件当事人名单；</w:t>
      </w:r>
    </w:p>
    <w:p w14:paraId="15499F93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6.具有文旅商业街区或历史文化街区运营管理服务经验（需提供相关合同或业绩证明）。</w:t>
      </w:r>
    </w:p>
    <w:p w14:paraId="74457F97">
      <w:pPr>
        <w:ind w:firstLine="640" w:firstLineChars="200"/>
        <w:rPr>
          <w:rFonts w:ascii="方正楷体_GBK" w:hAnsi="方正楷体_GBK" w:eastAsia="方正楷体_GBK" w:cs="方正楷体_GBK"/>
          <w:sz w:val="32"/>
          <w:szCs w:val="40"/>
        </w:rPr>
      </w:pPr>
      <w:r>
        <w:rPr>
          <w:rFonts w:hint="eastAsia" w:ascii="方正楷体_GBK" w:hAnsi="方正楷体_GBK" w:eastAsia="方正楷体_GBK" w:cs="方正楷体_GBK"/>
          <w:sz w:val="32"/>
          <w:szCs w:val="40"/>
        </w:rPr>
        <w:t>（二）管理要求</w:t>
      </w:r>
    </w:p>
    <w:p w14:paraId="293CB6B9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1. 人员管理：所有安保人员政审合格，年龄不得超过55岁；监控岗位须持证上岗；每班保证至少1名女性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安保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人员；人员更换需提前向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我馆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报备，不得随意缺岗、顶岗。</w:t>
      </w:r>
    </w:p>
    <w:p w14:paraId="193A9C38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2. 仪容形象：统一制式服装，着装整洁，文明礼貌对待游客，规范服务用语。</w:t>
      </w:r>
    </w:p>
    <w:p w14:paraId="7887CEFB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3. 岗位纪律：严禁脱岗、睡岗，各岗位严格落实岗位职责；微型消防站人员熟练掌握消防器材操作。</w:t>
      </w:r>
    </w:p>
    <w:p w14:paraId="0D1C6DB2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4. 应急管理：编制突发事件处置预案，针对人流拥挤、纠纷冲突、火情、游客意外受伤等场景定期开展演练；发生突发情况第一时间处置并上报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我馆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。</w:t>
      </w:r>
    </w:p>
    <w:p w14:paraId="16A8F88B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5. 台账管理：完整留存值班记录、巡逻记录、监控值班台账、隐患排查记录、临勤工作记录等，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我馆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随时可以查阅。</w:t>
      </w:r>
    </w:p>
    <w:p w14:paraId="6E775D5C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6. 外包管理：本项目不允许转包、违法分包。</w:t>
      </w:r>
    </w:p>
    <w:p w14:paraId="6A239E50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40"/>
        </w:rPr>
      </w:pPr>
      <w:r>
        <w:rPr>
          <w:rFonts w:hint="eastAsia" w:ascii="方正楷体_GBK" w:hAnsi="方正楷体_GBK" w:eastAsia="方正楷体_GBK" w:cs="方正楷体_GBK"/>
          <w:sz w:val="32"/>
          <w:szCs w:val="40"/>
        </w:rPr>
        <w:t>（三）工作制度要求</w:t>
      </w:r>
    </w:p>
    <w:p w14:paraId="11F0A97F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1. 供应商应建立健全各项内部管理制度；</w:t>
      </w:r>
    </w:p>
    <w:p w14:paraId="6FA363D1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2. 供应商应建立与我馆定期沟通汇报机制；</w:t>
      </w:r>
    </w:p>
    <w:p w14:paraId="449508A4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3. 重大事项须事先报我馆审批；</w:t>
      </w:r>
    </w:p>
    <w:p w14:paraId="2FCAC3DB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4. 供应商应遵守我馆及锦里相关的各项管理规章制度。</w:t>
      </w:r>
    </w:p>
    <w:p w14:paraId="78F916F1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6</w:t>
      </w:r>
      <w:r>
        <w:rPr>
          <w:rFonts w:ascii="Times New Roman" w:hAnsi="Times New Roman" w:eastAsia="方正仿宋_GBK" w:cs="Times New Roman"/>
          <w:sz w:val="32"/>
          <w:szCs w:val="40"/>
        </w:rPr>
        <w:t>. 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实行三班</w:t>
      </w:r>
      <w:r>
        <w:rPr>
          <w:rFonts w:ascii="Times New Roman" w:hAnsi="Times New Roman" w:eastAsia="方正仿宋_GBK" w:cs="Times New Roman"/>
          <w:sz w:val="32"/>
          <w:szCs w:val="40"/>
        </w:rPr>
        <w:t>24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小时轮值制度：早班</w:t>
      </w:r>
      <w:r>
        <w:rPr>
          <w:rFonts w:ascii="Times New Roman" w:hAnsi="Times New Roman" w:eastAsia="方正仿宋_GBK" w:cs="Times New Roman"/>
          <w:sz w:val="32"/>
          <w:szCs w:val="40"/>
        </w:rPr>
        <w:t>08:00‑16:00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；中班</w:t>
      </w:r>
      <w:r>
        <w:rPr>
          <w:rFonts w:ascii="Times New Roman" w:hAnsi="Times New Roman" w:eastAsia="方正仿宋_GBK" w:cs="Times New Roman"/>
          <w:sz w:val="32"/>
          <w:szCs w:val="40"/>
        </w:rPr>
        <w:t>16:00‑24:00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；晚班</w:t>
      </w:r>
      <w:r>
        <w:rPr>
          <w:rFonts w:ascii="Times New Roman" w:hAnsi="Times New Roman" w:eastAsia="方正仿宋_GBK" w:cs="Times New Roman"/>
          <w:sz w:val="32"/>
          <w:szCs w:val="40"/>
        </w:rPr>
        <w:t>00:00‑08:00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，各岗位无缝衔接，不得出现岗位空岗。</w:t>
      </w:r>
    </w:p>
    <w:p w14:paraId="06F20487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7. 落实值守巡逻制度：定点岗位坚守岗位，巡逻岗按照规定路线频次开展巡查，做好签到记录。</w:t>
      </w:r>
    </w:p>
    <w:p w14:paraId="0DA474F4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8. 交接班制度：严格执行岗位交接，当面交接现场情况、设备情况、待办事项，填写交接班记录。</w:t>
      </w:r>
    </w:p>
    <w:p w14:paraId="79277A2C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9. 培训制度：中标单位定期对安保团队开展服务礼仪、消防技能、应急处置、景区安保业务培训。</w:t>
      </w:r>
    </w:p>
    <w:p w14:paraId="4036F44C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10. 重大活动响应制度：接到节假日、大庙会临勤保障通知，按时足额派遣临勤安保人员到位。</w:t>
      </w:r>
    </w:p>
    <w:p w14:paraId="10A5AD69">
      <w:pPr>
        <w:ind w:firstLine="640" w:firstLineChars="200"/>
        <w:rPr>
          <w:rFonts w:hint="eastAsia" w:ascii="方正楷体_GBK" w:hAnsi="方正楷体_GBK" w:eastAsia="方正楷体_GBK" w:cs="方正楷体_GBK"/>
          <w:sz w:val="32"/>
          <w:szCs w:val="40"/>
        </w:rPr>
      </w:pPr>
      <w:r>
        <w:rPr>
          <w:rFonts w:hint="eastAsia" w:ascii="方正楷体_GBK" w:hAnsi="方正楷体_GBK" w:eastAsia="方正楷体_GBK" w:cs="方正楷体_GBK"/>
          <w:sz w:val="32"/>
          <w:szCs w:val="40"/>
        </w:rPr>
        <w:t>（三）报价要求</w:t>
      </w:r>
    </w:p>
    <w:p w14:paraId="074629D8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1. 投标报价包含本项目全部费用：人员工资、社保、服装装备费、培训、管理、工具耗材、节假日加班、调休、临勤人员成本、保险、管理费、利润、税金等全部一切费用，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我馆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不再支付其他任何费用。</w:t>
      </w:r>
    </w:p>
    <w:p w14:paraId="29BFF2AD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2. 报价分为日常固定安保服务费、节假日临勤单价、大庙会临勤单价，分别进行报价。</w:t>
      </w:r>
    </w:p>
    <w:p w14:paraId="43CDA676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3. 临勤人员按照实际发生的人天/人次进行结算，以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我馆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确认出勤记录为准。</w:t>
      </w:r>
    </w:p>
    <w:p w14:paraId="1C534903">
      <w:pPr>
        <w:ind w:firstLine="640" w:firstLineChars="200"/>
        <w:rPr>
          <w:rFonts w:hint="default" w:eastAsia="方正仿宋_GBK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4. 报价需充分考虑文旅街区节假日高峰加班、人员轮换等风险，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报价为一年服务费用金额。</w:t>
      </w:r>
    </w:p>
    <w:p w14:paraId="648AC0F2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5. 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意向供应商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须承诺，所有安保人员薪酬待遇符合国家劳动用工相关法规，不得拖欠人员工资。</w:t>
      </w:r>
    </w:p>
    <w:p w14:paraId="753C9014">
      <w:pPr>
        <w:ind w:firstLine="640" w:firstLineChars="200"/>
        <w:rPr>
          <w:rFonts w:hint="eastAsia" w:ascii="方正黑体_GBK" w:hAnsi="方正楷体_GBK" w:eastAsia="方正黑体_GBK" w:cs="方正楷体_GBK"/>
          <w:sz w:val="32"/>
          <w:szCs w:val="40"/>
        </w:rPr>
      </w:pPr>
      <w:r>
        <w:rPr>
          <w:rFonts w:hint="eastAsia" w:ascii="方正黑体_GBK" w:hAnsi="方正楷体_GBK" w:eastAsia="方正黑体_GBK" w:cs="方正楷体_GBK"/>
          <w:sz w:val="32"/>
          <w:szCs w:val="40"/>
        </w:rPr>
        <w:t>五、考核与验收</w:t>
      </w:r>
    </w:p>
    <w:p w14:paraId="63B509E9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1. 日常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监督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我馆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对安保服务进行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日常监督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；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监督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内容含人员到岗情况、岗位履职、仪容纪律、应急处置、台账记录、游客投诉情况。</w:t>
      </w:r>
    </w:p>
    <w:p w14:paraId="334A0E5B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2. 月度验收：每月依据考核表进行服务验收，考核结果和月度服务费用支付挂钩；出现脱岗、无证上岗、服务重大投诉等问题按约定扣减服务费。</w:t>
      </w:r>
    </w:p>
    <w:p w14:paraId="3B158350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. 年度综合考核：每服务年度结束开展综合考核，考核合格方可续签下一年服务；考核不合格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我馆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有权终止合同。</w:t>
      </w:r>
    </w:p>
    <w:p w14:paraId="435B6E20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. 临勤服务验收：节假日、大庙会临勤保障完成后，依据实际到岗人员数量、现场保障效果进行验收。</w:t>
      </w:r>
    </w:p>
    <w:p w14:paraId="63F1BC38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. 服务过程出现重大安全责任事件、人员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视为供应商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严重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违约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我馆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有权按合同追究责任，直至解除服务合同。</w:t>
      </w:r>
    </w:p>
    <w:p w14:paraId="64486884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</w:p>
    <w:p w14:paraId="19350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50" w:line="240" w:lineRule="auto"/>
        <w:ind w:firstLine="480" w:firstLineChars="200"/>
        <w:textAlignment w:val="auto"/>
        <w:rPr>
          <w:rFonts w:hint="eastAsia" w:ascii="Times New Roman" w:hAnsi="Times New Roman" w:eastAsia="方正仿宋_GB2312" w:cs="Times New Roman"/>
          <w:b w:val="0"/>
          <w:bCs w:val="0"/>
          <w:sz w:val="24"/>
          <w:szCs w:val="24"/>
          <w:lang w:val="en-US" w:eastAsia="zh-CN"/>
        </w:rPr>
      </w:pPr>
      <w:bookmarkStart w:id="1" w:name="_GoBack"/>
      <w:r>
        <w:rPr>
          <w:rFonts w:hint="eastAsia" w:ascii="Times New Roman" w:hAnsi="Times New Roman" w:eastAsia="方正仿宋_GB2312" w:cs="Times New Roman"/>
          <w:b w:val="0"/>
          <w:bCs w:val="0"/>
          <w:sz w:val="24"/>
          <w:szCs w:val="24"/>
          <w:lang w:val="en-US" w:eastAsia="zh-CN"/>
        </w:rPr>
        <w:t>注：邀请比价中出现下列情形之一的，参照财政部《关于推动解决政府采购异常低价问题的通知》（财库〔2026〕2号），启动异常低价报价审查程序：</w:t>
      </w:r>
    </w:p>
    <w:p w14:paraId="5D6C9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50" w:line="240" w:lineRule="auto"/>
        <w:ind w:firstLine="480" w:firstLineChars="200"/>
        <w:textAlignment w:val="auto"/>
        <w:rPr>
          <w:rFonts w:hint="eastAsia" w:ascii="Times New Roman" w:hAnsi="Times New Roman" w:eastAsia="方正仿宋_GB2312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24"/>
          <w:szCs w:val="24"/>
          <w:lang w:val="en-US" w:eastAsia="zh-CN"/>
        </w:rPr>
        <w:t>1.报价低于全部通过符合性审查供应商报价平均值50%的，即报价&lt;全部通过符合性审查供应商报价平均值×50%；</w:t>
      </w:r>
    </w:p>
    <w:p w14:paraId="00755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50" w:line="240" w:lineRule="auto"/>
        <w:ind w:firstLine="480" w:firstLineChars="200"/>
        <w:textAlignment w:val="auto"/>
        <w:rPr>
          <w:rFonts w:hint="eastAsia" w:ascii="Times New Roman" w:hAnsi="Times New Roman" w:eastAsia="方正仿宋_GB2312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24"/>
          <w:szCs w:val="24"/>
          <w:lang w:val="en-US" w:eastAsia="zh-CN"/>
        </w:rPr>
        <w:t>2.报价低于通过符合性审查的次低报价供应商报价50%的，即报价&lt;通过符合性审查的次低报价供应商报价×50%；</w:t>
      </w:r>
    </w:p>
    <w:p w14:paraId="00E49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50" w:line="240" w:lineRule="auto"/>
        <w:ind w:firstLine="480" w:firstLineChars="200"/>
        <w:textAlignment w:val="auto"/>
        <w:rPr>
          <w:rFonts w:hint="default" w:ascii="Times New Roman" w:hAnsi="Times New Roman" w:eastAsia="方正仿宋_GB2312" w:cs="Times New Roma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24"/>
          <w:szCs w:val="24"/>
          <w:lang w:val="en-US" w:eastAsia="zh-CN"/>
        </w:rPr>
        <w:t>3.报价低于采购项目最高限价45%的，即报价&lt;采购项目最高限价×45%。</w:t>
      </w:r>
    </w:p>
    <w:bookmarkEnd w:id="1"/>
    <w:p w14:paraId="0331C574">
      <w:pPr>
        <w:pStyle w:val="2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D6B791F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</w:p>
    <w:p w14:paraId="4E557801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</w:p>
    <w:p w14:paraId="07864CE2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2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1D7678"/>
    <w:multiLevelType w:val="singleLevel"/>
    <w:tmpl w:val="D71D767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155201"/>
    <w:rsid w:val="00067C4F"/>
    <w:rsid w:val="0009220B"/>
    <w:rsid w:val="000F7D66"/>
    <w:rsid w:val="00241E24"/>
    <w:rsid w:val="00366F7C"/>
    <w:rsid w:val="005A7AB8"/>
    <w:rsid w:val="00A52C05"/>
    <w:rsid w:val="00D821B7"/>
    <w:rsid w:val="00DE50B5"/>
    <w:rsid w:val="00F10DD4"/>
    <w:rsid w:val="00FE3AEC"/>
    <w:rsid w:val="1DD45669"/>
    <w:rsid w:val="21155201"/>
    <w:rsid w:val="68791607"/>
    <w:rsid w:val="695D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/>
      <w:b/>
      <w:color w:val="auto"/>
      <w:kern w:val="2"/>
      <w:sz w:val="21"/>
      <w:szCs w:val="24"/>
      <w:lang w:val="en-US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3037</Words>
  <Characters>3171</Characters>
  <Lines>97</Lines>
  <Paragraphs>113</Paragraphs>
  <TotalTime>0</TotalTime>
  <ScaleCrop>false</ScaleCrop>
  <LinksUpToDate>false</LinksUpToDate>
  <CharactersWithSpaces>3203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2026-08-10T06:49:00Z</dcterms:created>
  <dc:creator>解舒雯</dc:creator>
  <cp:lastModifiedBy>解舒雯</cp:lastModifiedBy>
  <dcterms:modified xsi:type="dcterms:W3CDTF">2026-08-10T12:48:29Z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C65C24C1E5104B2BA9D18E2E1BC33154_13</vt:lpwstr>
  </property>
  <property fmtid="{D5CDD505-2E9C-101B-9397-08002B2CF9AE}" pid="4" name="KSOTemplateDocerSaveRecord">
    <vt:lpwstr>eyJoZGlkIjoiYmI1OGE4YjIyMWI3OTZkNmUzMjQ5YWQxY2M3ODg0ZDYiLCJ1c2VySWQiOiIyNzcxMjQxMzgifQ==</vt:lpwstr>
  </property>
</Properties>
</file>