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865FF">
      <w:pPr>
        <w:widowControl w:val="0"/>
        <w:numPr>
          <w:ilvl w:val="0"/>
          <w:numId w:val="0"/>
        </w:numPr>
        <w:wordWrap w:val="0"/>
        <w:jc w:val="both"/>
        <w:rPr>
          <w:rFonts w:hint="eastAsia" w:ascii="方正黑体_GBK" w:hAnsi="方正黑体_GBK" w:eastAsia="黑体" w:cs="方正黑体_GBK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0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0"/>
          <w:lang w:val="en-US" w:eastAsia="zh-CN"/>
        </w:rPr>
        <w:t>3</w:t>
      </w:r>
    </w:p>
    <w:p w14:paraId="79C5FC8E">
      <w:pPr>
        <w:spacing w:line="576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0"/>
        </w:rPr>
      </w:pP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310"/>
        <w:gridCol w:w="4660"/>
      </w:tblGrid>
      <w:tr w14:paraId="4BE03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23F2C">
            <w:pPr>
              <w:spacing w:line="600" w:lineRule="exact"/>
              <w:jc w:val="center"/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（供应商名称）</w:t>
            </w:r>
          </w:p>
          <w:p w14:paraId="2706B865">
            <w:pPr>
              <w:spacing w:line="600" w:lineRule="exact"/>
              <w:jc w:val="center"/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sz w:val="44"/>
                <w:szCs w:val="44"/>
                <w:lang w:val="en-US" w:eastAsia="zh-CN"/>
              </w:rPr>
              <w:t>成都武侯祠博物馆</w:t>
            </w:r>
            <w:r>
              <w:rPr>
                <w:rFonts w:hint="default" w:ascii="Times New Roman" w:hAnsi="Times New Roman" w:eastAsia="方正小标宋_GBK" w:cs="Times New Roman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2027武侯祠成都大庙会科技艺术装置与数字视觉融合项目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的报价明细表</w:t>
            </w:r>
          </w:p>
          <w:p w14:paraId="249883AC">
            <w:pPr>
              <w:spacing w:line="600" w:lineRule="exact"/>
              <w:jc w:val="center"/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</w:pPr>
          </w:p>
        </w:tc>
      </w:tr>
      <w:tr w14:paraId="0DA83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D0534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序号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A7959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报价内容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F415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 xml:space="preserve">含税报价金额           </w:t>
            </w:r>
          </w:p>
          <w:p w14:paraId="3E2253E6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（保留2位小数）</w:t>
            </w:r>
          </w:p>
        </w:tc>
      </w:tr>
      <w:tr w14:paraId="772AB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79DB4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C5B01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主题机械动态设备设计制作（含设计、制作、安装、运维）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D75FB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主题机械动态设备</w:t>
            </w: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 w14:paraId="76D2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018E8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2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3762A">
            <w:pPr>
              <w:jc w:val="center"/>
              <w:rPr>
                <w:rFonts w:hint="default" w:ascii="Times New Roman" w:hAnsi="Times New Roman" w:eastAsia="方正仿宋_GB2312" w:cs="Times New Roma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数字内容载体租赁（含安装、运维、撤场）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9D5B8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  <w:t>透明 LED 显示屏XX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 w14:paraId="55A2F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69118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3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B5B39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数字内容制作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27A33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  <w:t>融合数字内容制作XX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 w14:paraId="6F0A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B715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4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CA283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除1、2</w:t>
            </w: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项以外的其他费用</w:t>
            </w:r>
          </w:p>
          <w:p w14:paraId="472CDF97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（包括但不限于设备投入、咨询、交通差旅、食宿、利润、风险、税金等所有费用）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8F772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 w14:paraId="6C36E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21E9">
            <w:pPr>
              <w:jc w:val="center"/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78A04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B8FB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u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</w:tbl>
    <w:p w14:paraId="47B69444">
      <w:pPr>
        <w:pStyle w:val="4"/>
        <w:rPr>
          <w:rFonts w:hint="default" w:ascii="Times New Roman" w:hAnsi="Times New Roman" w:cs="Times New Roman"/>
        </w:rPr>
      </w:pPr>
    </w:p>
    <w:p w14:paraId="3843387B">
      <w:pPr>
        <w:rPr>
          <w:rFonts w:hint="default" w:ascii="Times New Roman" w:hAnsi="Times New Roman" w:cs="Times New Roman"/>
        </w:rPr>
      </w:pPr>
    </w:p>
    <w:p w14:paraId="6F984ECB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55AB1B-5483-4924-BE55-C8C7C0BC48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70A725-5EE2-4111-A8E3-F1F358AF277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ABC7646-1E46-4CED-BEA4-F8B4BAB8A18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B649D75-877C-48FF-A41C-0BB8B993B37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9B69035-4FD6-4F1E-87EA-B1307527AE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85538"/>
    <w:rsid w:val="2418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2026-08-10T01:14:00Z</dcterms:created>
  <dc:creator> 初升</dc:creator>
  <cp:lastModifiedBy> 初升</cp:lastModifiedBy>
  <dcterms:modified xsi:type="dcterms:W3CDTF">2026-08-10T01:14:49Z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EDD6BBB815D24EA3892AE5E713BF3CA2_11</vt:lpwstr>
  </property>
  <property fmtid="{D5CDD505-2E9C-101B-9397-08002B2CF9AE}" pid="4" name="KSOTemplateDocerSaveRecord">
    <vt:lpwstr>eyJoZGlkIjoiMGEzMTNkMzc4OWI2ODc1OWYwODE3NzQwNmY1YTQ2N2EiLCJ1c2VySWQiOiIzMTQ0OTQyMTUifQ==</vt:lpwstr>
  </property>
</Properties>
</file>