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B352C9">
      <w:pPr>
        <w:spacing w:line="360" w:lineRule="auto"/>
        <w:jc w:val="center"/>
        <w:outlineLvl w:val="0"/>
        <w:rPr>
          <w:rFonts w:hint="eastAsia" w:ascii="宋体" w:hAnsi="宋体" w:eastAsia="宋体" w:cs="方正仿宋_GBK"/>
          <w:spacing w:val="-5"/>
          <w:sz w:val="32"/>
          <w:szCs w:val="32"/>
          <w:lang w:eastAsia="zh-CN"/>
        </w:rPr>
      </w:pPr>
      <w:r>
        <w:rPr>
          <w:rFonts w:ascii="宋体" w:hAnsi="宋体" w:eastAsia="宋体" w:cs="方正仿宋_GBK"/>
          <w:spacing w:val="-5"/>
          <w:sz w:val="32"/>
          <w:szCs w:val="32"/>
          <w:lang w:eastAsia="zh-CN"/>
        </w:rPr>
        <w:t>武侯祠锦里文化旅游街区戏楼群建筑维修</w:t>
      </w:r>
      <w:r>
        <w:rPr>
          <w:rFonts w:hint="eastAsia" w:ascii="宋体" w:hAnsi="宋体" w:eastAsia="宋体" w:cs="方正仿宋_GBK"/>
          <w:spacing w:val="-5"/>
          <w:sz w:val="32"/>
          <w:szCs w:val="32"/>
          <w:lang w:eastAsia="zh-CN"/>
        </w:rPr>
        <w:t>项目需求</w:t>
      </w:r>
    </w:p>
    <w:p w14:paraId="3F3592C5">
      <w:pPr>
        <w:widowControl/>
        <w:snapToGrid w:val="0"/>
        <w:spacing w:line="360" w:lineRule="auto"/>
        <w:ind w:firstLine="480" w:firstLineChars="200"/>
        <w:jc w:val="left"/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lang w:val="en-US" w:eastAsia="zh-CN"/>
        </w:rPr>
      </w:pPr>
    </w:p>
    <w:p w14:paraId="594D31D0">
      <w:pPr>
        <w:widowControl/>
        <w:snapToGrid w:val="0"/>
        <w:spacing w:line="360" w:lineRule="auto"/>
        <w:ind w:firstLine="480" w:firstLineChars="200"/>
        <w:jc w:val="left"/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lang w:val="en-US" w:eastAsia="zh-CN"/>
        </w:rPr>
        <w:t>（一）项目名称：武侯祠锦里文化旅游街区戏楼群建筑维修项目</w:t>
      </w:r>
    </w:p>
    <w:p w14:paraId="67AD3539">
      <w:pPr>
        <w:widowControl/>
        <w:snapToGrid w:val="0"/>
        <w:spacing w:line="360" w:lineRule="auto"/>
        <w:ind w:firstLine="480" w:firstLineChars="200"/>
        <w:jc w:val="left"/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lang w:val="en-US" w:eastAsia="zh-CN"/>
        </w:rPr>
        <w:t>（二）最高限价：1829918.05元</w:t>
      </w:r>
    </w:p>
    <w:p w14:paraId="17E2CD29">
      <w:pPr>
        <w:widowControl/>
        <w:snapToGrid w:val="0"/>
        <w:spacing w:line="360" w:lineRule="auto"/>
        <w:ind w:firstLine="480" w:firstLineChars="200"/>
        <w:jc w:val="left"/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lang w:val="en-US" w:eastAsia="zh-CN"/>
        </w:rPr>
        <w:t>（三）戏楼群建筑维修内容</w:t>
      </w:r>
    </w:p>
    <w:p w14:paraId="554AD8AA">
      <w:pPr>
        <w:widowControl/>
        <w:snapToGrid w:val="0"/>
        <w:spacing w:line="360" w:lineRule="auto"/>
        <w:ind w:firstLine="480" w:firstLineChars="200"/>
        <w:jc w:val="left"/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lang w:val="en-US" w:eastAsia="zh-CN"/>
        </w:rPr>
        <w:t>1、所有油饰面油漆按古建筑要求进行重新设计：</w:t>
      </w:r>
    </w:p>
    <w:p w14:paraId="13B63E4A">
      <w:pPr>
        <w:widowControl/>
        <w:snapToGrid w:val="0"/>
        <w:spacing w:line="360" w:lineRule="auto"/>
        <w:ind w:firstLine="480" w:firstLineChars="200"/>
        <w:jc w:val="left"/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lang w:val="en-US" w:eastAsia="zh-CN"/>
        </w:rPr>
        <w:t>（1）基于历史考据与现状勘察，确定各建筑油饰（油漆、彩绘）的原始工艺、材料与色彩谱系。</w:t>
      </w:r>
    </w:p>
    <w:p w14:paraId="5F6F329F">
      <w:pPr>
        <w:widowControl/>
        <w:snapToGrid w:val="0"/>
        <w:spacing w:line="360" w:lineRule="auto"/>
        <w:ind w:firstLine="480" w:firstLineChars="200"/>
        <w:jc w:val="left"/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lang w:val="en-US" w:eastAsia="zh-CN"/>
        </w:rPr>
        <w:t>（2）制定科学的修复方案：对保存较好的历史油饰进行清洗、加固、保护；对破损严重处，按原工艺、原材料、原色彩进行修复设计。</w:t>
      </w:r>
    </w:p>
    <w:p w14:paraId="6F91ECBD">
      <w:pPr>
        <w:widowControl/>
        <w:snapToGrid w:val="0"/>
        <w:spacing w:line="360" w:lineRule="auto"/>
        <w:ind w:firstLine="480" w:firstLineChars="200"/>
        <w:jc w:val="left"/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lang w:val="en-US" w:eastAsia="zh-CN"/>
        </w:rPr>
        <w:t>（3）提交包括地仗做法、油皮色标、彩画纹样在内的详细设计图纸与施工工艺说明。</w:t>
      </w:r>
    </w:p>
    <w:p w14:paraId="350ADC6D">
      <w:pPr>
        <w:widowControl/>
        <w:snapToGrid w:val="0"/>
        <w:spacing w:line="360" w:lineRule="auto"/>
        <w:ind w:firstLine="480" w:firstLineChars="200"/>
        <w:jc w:val="left"/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lang w:val="en-US" w:eastAsia="zh-CN"/>
        </w:rPr>
        <w:t>2、木制门窗、封窗、挂落等设计制作安装：</w:t>
      </w:r>
    </w:p>
    <w:p w14:paraId="749BD705">
      <w:pPr>
        <w:widowControl/>
        <w:snapToGrid w:val="0"/>
        <w:spacing w:line="360" w:lineRule="auto"/>
        <w:ind w:firstLine="480" w:firstLineChars="200"/>
        <w:jc w:val="left"/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lang w:val="en-US" w:eastAsia="zh-CN"/>
        </w:rPr>
        <w:t>（1）对现有木制门窗、封窗板、挂落、栏杆等构件进行逐项评估，区分可修复构件与需更换构件。设计上，可修复的应制定传统工艺修复方案；需更换的必须严格按照原有样式、材质、比例、榫卯工艺进行1:1复制设计。</w:t>
      </w:r>
    </w:p>
    <w:p w14:paraId="792AC65E">
      <w:pPr>
        <w:widowControl/>
        <w:snapToGrid w:val="0"/>
        <w:spacing w:line="360" w:lineRule="auto"/>
        <w:ind w:firstLine="480" w:firstLineChars="200"/>
        <w:jc w:val="left"/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lang w:val="en-US" w:eastAsia="zh-CN"/>
        </w:rPr>
        <w:t>（2）提供所有木装修的样式大样图、构造节点图、安装示意图及材料工艺要求。</w:t>
      </w:r>
    </w:p>
    <w:p w14:paraId="6CF5E7C9">
      <w:pPr>
        <w:widowControl/>
        <w:snapToGrid w:val="0"/>
        <w:spacing w:line="360" w:lineRule="auto"/>
        <w:ind w:firstLine="480" w:firstLineChars="200"/>
        <w:jc w:val="left"/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lang w:val="en-US" w:eastAsia="zh-CN"/>
        </w:rPr>
        <w:t>（3）结构加固与安全设计</w:t>
      </w:r>
    </w:p>
    <w:p w14:paraId="5A5BC80C">
      <w:pPr>
        <w:widowControl/>
        <w:snapToGrid w:val="0"/>
        <w:spacing w:line="360" w:lineRule="auto"/>
        <w:ind w:firstLine="480" w:firstLineChars="200"/>
        <w:jc w:val="left"/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lang w:val="en-US" w:eastAsia="zh-CN"/>
        </w:rPr>
        <w:t>①在勘察基础上，对存在安全隐患的木结构、砖石结构进行安全性评估。</w:t>
      </w:r>
    </w:p>
    <w:p w14:paraId="39033B38">
      <w:pPr>
        <w:widowControl/>
        <w:snapToGrid w:val="0"/>
        <w:spacing w:line="360" w:lineRule="auto"/>
        <w:ind w:firstLine="480" w:firstLineChars="200"/>
        <w:jc w:val="left"/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lang w:val="en-US" w:eastAsia="zh-CN"/>
        </w:rPr>
        <w:t>②设计必要的隐蔽性加固措施，如采用碳纤维布、钢构件内衬等现代技术与传统工艺相结合的方法，确保结构安全，同时最大限度地保持原有风貌。</w:t>
      </w:r>
    </w:p>
    <w:p w14:paraId="43EB4D41">
      <w:pPr>
        <w:widowControl/>
        <w:snapToGrid w:val="0"/>
        <w:spacing w:line="360" w:lineRule="auto"/>
        <w:ind w:firstLine="480" w:firstLineChars="200"/>
        <w:jc w:val="left"/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lang w:val="en-US" w:eastAsia="zh-CN"/>
        </w:rPr>
        <w:t>3、戏楼室内加设阁楼空间，完善戏台功能，能够基本涵盖各类戏种（如神仙戏等）的演出：</w:t>
      </w:r>
    </w:p>
    <w:p w14:paraId="76B7F4CE">
      <w:pPr>
        <w:widowControl/>
        <w:snapToGrid w:val="0"/>
        <w:spacing w:line="360" w:lineRule="auto"/>
        <w:ind w:firstLine="480" w:firstLineChars="200"/>
        <w:jc w:val="left"/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lang w:val="en-US" w:eastAsia="zh-CN"/>
        </w:rPr>
        <w:t>（1）结构评估：首先评估在戏楼室内加设阁楼（可能用作化妆间、道具间或辅助舞台）对原有建筑结构的影响，并进行必要的加固设计。</w:t>
      </w:r>
    </w:p>
    <w:p w14:paraId="268BE371">
      <w:pPr>
        <w:widowControl/>
        <w:snapToGrid w:val="0"/>
        <w:spacing w:line="360" w:lineRule="auto"/>
        <w:ind w:firstLine="480" w:firstLineChars="200"/>
        <w:jc w:val="left"/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lang w:val="en-US" w:eastAsia="zh-CN"/>
        </w:rPr>
        <w:t>（2）空间设计：设计阁楼的位置、面积、流线，确保不影响主戏台观演效果，并符合消防安全疏散要求。</w:t>
      </w:r>
    </w:p>
    <w:p w14:paraId="36854A3B">
      <w:pPr>
        <w:widowControl/>
        <w:snapToGrid w:val="0"/>
        <w:spacing w:line="360" w:lineRule="auto"/>
        <w:ind w:firstLine="480" w:firstLineChars="200"/>
        <w:jc w:val="left"/>
        <w:rPr>
          <w:rFonts w:hint="eastAsia" w:ascii="Times New Roman" w:hAnsi="Times New Roman" w:eastAsia="宋体" w:cs="Times New Roman"/>
          <w:kern w:val="0"/>
          <w:sz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lang w:val="en-US" w:eastAsia="zh-CN"/>
        </w:rPr>
        <w:t>（3）功能完善：围绕恢复“演戏功能</w:t>
      </w:r>
      <w:r>
        <w:rPr>
          <w:rFonts w:hint="eastAsia" w:ascii="Times New Roman" w:hAnsi="Times New Roman" w:eastAsia="宋体" w:cs="Times New Roman"/>
          <w:kern w:val="0"/>
          <w:sz w:val="24"/>
          <w:lang w:val="en-US" w:eastAsia="zh-CN"/>
        </w:rPr>
        <w:t>”为核心进行设计。</w:t>
      </w:r>
    </w:p>
    <w:p w14:paraId="419C6E0C">
      <w:pPr>
        <w:widowControl/>
        <w:snapToGrid w:val="0"/>
        <w:spacing w:line="360" w:lineRule="auto"/>
        <w:ind w:firstLine="480" w:firstLineChars="200"/>
        <w:jc w:val="left"/>
        <w:rPr>
          <w:rFonts w:hint="eastAsia" w:ascii="Times New Roman" w:hAnsi="Times New Roman" w:eastAsia="宋体" w:cs="Times New Roman"/>
          <w:kern w:val="0"/>
          <w:sz w:val="24"/>
          <w:lang w:val="en-US" w:eastAsia="zh-CN"/>
        </w:rPr>
      </w:pPr>
      <w:r>
        <w:rPr>
          <w:rFonts w:hint="eastAsia" w:ascii="Times New Roman" w:hAnsi="Times New Roman" w:eastAsia="宋体" w:cs="Times New Roman"/>
          <w:kern w:val="0"/>
          <w:sz w:val="24"/>
          <w:lang w:val="en-US" w:eastAsia="zh-CN"/>
        </w:rPr>
        <w:t>（4）舞台功能：完善戏台台面、背景区、上下场门。</w:t>
      </w:r>
    </w:p>
    <w:p w14:paraId="03299647">
      <w:pPr>
        <w:widowControl/>
        <w:snapToGrid w:val="0"/>
        <w:spacing w:line="360" w:lineRule="auto"/>
        <w:ind w:firstLine="480" w:firstLineChars="200"/>
        <w:jc w:val="left"/>
        <w:rPr>
          <w:rFonts w:hint="eastAsia" w:ascii="Times New Roman" w:hAnsi="Times New Roman" w:eastAsia="宋体" w:cs="Times New Roman"/>
          <w:kern w:val="0"/>
          <w:sz w:val="24"/>
          <w:lang w:val="en-US" w:eastAsia="zh-CN"/>
        </w:rPr>
      </w:pPr>
      <w:r>
        <w:rPr>
          <w:rFonts w:hint="eastAsia" w:ascii="Times New Roman" w:hAnsi="Times New Roman" w:eastAsia="宋体" w:cs="Times New Roman"/>
          <w:kern w:val="0"/>
          <w:sz w:val="24"/>
          <w:lang w:val="en-US" w:eastAsia="zh-CN"/>
        </w:rPr>
        <w:t>（5）演出设施：设计可满足传统戏剧“神仙戏”等对吊威亚、器械升降有特殊需求的戏种的简易吊点系统、隐蔽的机械装置预埋件。</w:t>
      </w:r>
    </w:p>
    <w:p w14:paraId="1CDF0D68">
      <w:pPr>
        <w:widowControl/>
        <w:snapToGrid w:val="0"/>
        <w:spacing w:line="360" w:lineRule="auto"/>
        <w:ind w:firstLine="480" w:firstLineChars="200"/>
        <w:jc w:val="left"/>
        <w:rPr>
          <w:rFonts w:hint="eastAsia" w:ascii="Times New Roman" w:hAnsi="Times New Roman" w:eastAsia="宋体" w:cs="Times New Roman"/>
          <w:kern w:val="0"/>
          <w:sz w:val="24"/>
          <w:lang w:val="en-US" w:eastAsia="zh-CN"/>
        </w:rPr>
      </w:pPr>
      <w:r>
        <w:rPr>
          <w:rFonts w:hint="eastAsia" w:ascii="Times New Roman" w:hAnsi="Times New Roman" w:eastAsia="宋体" w:cs="Times New Roman"/>
          <w:kern w:val="0"/>
          <w:sz w:val="24"/>
          <w:lang w:val="en-US" w:eastAsia="zh-CN"/>
        </w:rPr>
        <w:t>（6）配套空间：合理规划后台、候场、化妆、服装道具存放等辅助空间。</w:t>
      </w:r>
    </w:p>
    <w:p w14:paraId="5C240D7F">
      <w:pPr>
        <w:widowControl/>
        <w:snapToGrid w:val="0"/>
        <w:spacing w:line="360" w:lineRule="auto"/>
        <w:ind w:firstLine="480" w:firstLineChars="200"/>
        <w:jc w:val="left"/>
        <w:rPr>
          <w:rFonts w:hint="eastAsia" w:ascii="Times New Roman" w:hAnsi="Times New Roman" w:eastAsia="宋体" w:cs="Times New Roman"/>
          <w:kern w:val="0"/>
          <w:sz w:val="24"/>
          <w:lang w:val="en-US" w:eastAsia="zh-CN"/>
        </w:rPr>
      </w:pPr>
      <w:r>
        <w:rPr>
          <w:rFonts w:hint="eastAsia" w:ascii="Times New Roman" w:hAnsi="Times New Roman" w:eastAsia="宋体" w:cs="Times New Roman"/>
          <w:kern w:val="0"/>
          <w:sz w:val="24"/>
          <w:lang w:val="en-US" w:eastAsia="zh-CN"/>
        </w:rPr>
        <w:t>（7）声光电设计：预留并集成专业的灯光、音响、舞台机械的接口与隐蔽管线通道，避免明线破坏风貌。</w:t>
      </w:r>
    </w:p>
    <w:p w14:paraId="7CCA74E8">
      <w:pPr>
        <w:widowControl/>
        <w:snapToGrid w:val="0"/>
        <w:spacing w:line="360" w:lineRule="auto"/>
        <w:ind w:firstLine="480" w:firstLineChars="200"/>
        <w:jc w:val="left"/>
        <w:rPr>
          <w:rFonts w:hint="eastAsia" w:ascii="Times New Roman" w:hAnsi="Times New Roman" w:eastAsia="宋体" w:cs="Times New Roman"/>
          <w:kern w:val="0"/>
          <w:sz w:val="24"/>
          <w:lang w:val="en-US" w:eastAsia="zh-CN"/>
        </w:rPr>
      </w:pPr>
      <w:r>
        <w:rPr>
          <w:rFonts w:hint="eastAsia" w:ascii="Times New Roman" w:hAnsi="Times New Roman" w:eastAsia="宋体" w:cs="Times New Roman"/>
          <w:kern w:val="0"/>
          <w:sz w:val="24"/>
          <w:lang w:val="en-US" w:eastAsia="zh-CN"/>
        </w:rPr>
        <w:t>4、戏楼背立面完善挂落等构件设计：</w:t>
      </w:r>
    </w:p>
    <w:p w14:paraId="785DD760">
      <w:pPr>
        <w:widowControl/>
        <w:snapToGrid w:val="0"/>
        <w:spacing w:line="360" w:lineRule="auto"/>
        <w:ind w:firstLine="480" w:firstLineChars="200"/>
        <w:jc w:val="left"/>
        <w:rPr>
          <w:rFonts w:hint="eastAsia" w:ascii="Times New Roman" w:hAnsi="Times New Roman" w:eastAsia="宋体" w:cs="Times New Roman"/>
          <w:kern w:val="0"/>
          <w:sz w:val="24"/>
          <w:lang w:val="en-US" w:eastAsia="zh-CN"/>
        </w:rPr>
      </w:pPr>
      <w:r>
        <w:rPr>
          <w:rFonts w:hint="eastAsia" w:ascii="Times New Roman" w:hAnsi="Times New Roman" w:eastAsia="宋体" w:cs="Times New Roman"/>
          <w:kern w:val="0"/>
          <w:sz w:val="24"/>
          <w:lang w:val="en-US" w:eastAsia="zh-CN"/>
        </w:rPr>
        <w:t>对戏楼背立面（非主视面）进行详细测绘，对缺失的挂落等装饰构件，参考主立面及同期同类建筑进行复原设计，确保建筑各立面风貌协调统一。</w:t>
      </w:r>
    </w:p>
    <w:p w14:paraId="6CB993CF">
      <w:pPr>
        <w:widowControl/>
        <w:snapToGrid w:val="0"/>
        <w:spacing w:line="360" w:lineRule="auto"/>
        <w:ind w:firstLine="480" w:firstLineChars="200"/>
        <w:jc w:val="left"/>
        <w:rPr>
          <w:rFonts w:hint="eastAsia" w:ascii="Times New Roman" w:hAnsi="Times New Roman" w:eastAsia="宋体" w:cs="Times New Roman"/>
          <w:kern w:val="0"/>
          <w:sz w:val="24"/>
          <w:lang w:val="en-US" w:eastAsia="zh-CN"/>
        </w:rPr>
      </w:pPr>
      <w:r>
        <w:rPr>
          <w:rFonts w:hint="eastAsia" w:ascii="Times New Roman" w:hAnsi="Times New Roman" w:eastAsia="宋体" w:cs="Times New Roman"/>
          <w:kern w:val="0"/>
          <w:sz w:val="24"/>
          <w:lang w:val="en-US" w:eastAsia="zh-CN"/>
        </w:rPr>
        <w:t>5、屋面瓦及基层维修设计：</w:t>
      </w:r>
    </w:p>
    <w:p w14:paraId="7D5A6BEA">
      <w:pPr>
        <w:widowControl/>
        <w:snapToGrid w:val="0"/>
        <w:spacing w:line="360" w:lineRule="auto"/>
        <w:ind w:firstLine="480" w:firstLineChars="200"/>
        <w:jc w:val="left"/>
        <w:rPr>
          <w:rFonts w:hint="eastAsia" w:ascii="Times New Roman" w:hAnsi="Times New Roman" w:eastAsia="宋体" w:cs="Times New Roman"/>
          <w:kern w:val="0"/>
          <w:sz w:val="24"/>
          <w:lang w:val="en-US" w:eastAsia="zh-CN"/>
        </w:rPr>
      </w:pPr>
      <w:r>
        <w:rPr>
          <w:rFonts w:hint="eastAsia" w:ascii="Times New Roman" w:hAnsi="Times New Roman" w:eastAsia="宋体" w:cs="Times New Roman"/>
          <w:kern w:val="0"/>
          <w:sz w:val="24"/>
          <w:lang w:val="en-US" w:eastAsia="zh-CN"/>
        </w:rPr>
        <w:t>（1）设计屋面椽、望板、苫背等基层的检修、更换方案。</w:t>
      </w:r>
    </w:p>
    <w:p w14:paraId="5D525686">
      <w:pPr>
        <w:widowControl/>
        <w:snapToGrid w:val="0"/>
        <w:spacing w:line="360" w:lineRule="auto"/>
        <w:ind w:firstLine="480" w:firstLineChars="200"/>
        <w:jc w:val="left"/>
        <w:rPr>
          <w:rFonts w:hint="eastAsia" w:ascii="Times New Roman" w:hAnsi="Times New Roman" w:eastAsia="宋体" w:cs="Times New Roman"/>
          <w:kern w:val="0"/>
          <w:sz w:val="24"/>
          <w:lang w:val="en-US" w:eastAsia="zh-CN"/>
        </w:rPr>
      </w:pPr>
      <w:r>
        <w:rPr>
          <w:rFonts w:hint="eastAsia" w:ascii="Times New Roman" w:hAnsi="Times New Roman" w:eastAsia="宋体" w:cs="Times New Roman"/>
          <w:kern w:val="0"/>
          <w:sz w:val="24"/>
          <w:lang w:val="en-US" w:eastAsia="zh-CN"/>
        </w:rPr>
        <w:t>（2）设计瓦面的揭瓦检修、掺灰、更换方案，确保防水性能。对具有历史价值的特殊瓦件应予以保留利用。</w:t>
      </w:r>
    </w:p>
    <w:p w14:paraId="784666E9">
      <w:pPr>
        <w:widowControl/>
        <w:snapToGrid w:val="0"/>
        <w:spacing w:line="360" w:lineRule="auto"/>
        <w:ind w:firstLine="480" w:firstLineChars="200"/>
        <w:jc w:val="left"/>
        <w:rPr>
          <w:rFonts w:hint="eastAsia" w:ascii="Times New Roman" w:hAnsi="Times New Roman" w:eastAsia="宋体" w:cs="Times New Roman"/>
          <w:kern w:val="0"/>
          <w:sz w:val="24"/>
          <w:lang w:val="en-US" w:eastAsia="zh-CN"/>
        </w:rPr>
      </w:pPr>
      <w:r>
        <w:rPr>
          <w:rFonts w:hint="eastAsia" w:ascii="Times New Roman" w:hAnsi="Times New Roman" w:eastAsia="宋体" w:cs="Times New Roman"/>
          <w:kern w:val="0"/>
          <w:sz w:val="24"/>
          <w:lang w:val="en-US" w:eastAsia="zh-CN"/>
        </w:rPr>
        <w:t>（3）设计适应成都地区气候的现代防水层的隐蔽增设方案，并与传统屋面工艺结合。</w:t>
      </w:r>
    </w:p>
    <w:p w14:paraId="72817A1D">
      <w:pPr>
        <w:widowControl/>
        <w:snapToGrid w:val="0"/>
        <w:spacing w:line="360" w:lineRule="auto"/>
        <w:ind w:firstLine="480" w:firstLineChars="200"/>
        <w:jc w:val="left"/>
        <w:rPr>
          <w:rFonts w:hint="eastAsia" w:ascii="Times New Roman" w:hAnsi="Times New Roman" w:eastAsia="宋体" w:cs="Times New Roman"/>
          <w:kern w:val="0"/>
          <w:sz w:val="24"/>
          <w:lang w:val="en-US" w:eastAsia="zh-CN"/>
        </w:rPr>
      </w:pPr>
      <w:r>
        <w:rPr>
          <w:rFonts w:hint="eastAsia" w:ascii="Times New Roman" w:hAnsi="Times New Roman" w:eastAsia="宋体" w:cs="Times New Roman"/>
          <w:kern w:val="0"/>
          <w:sz w:val="24"/>
          <w:lang w:val="en-US" w:eastAsia="zh-CN"/>
        </w:rPr>
        <w:t>6、石刻长廊构件维修设计：</w:t>
      </w:r>
    </w:p>
    <w:p w14:paraId="24E5AE67">
      <w:pPr>
        <w:widowControl/>
        <w:snapToGrid w:val="0"/>
        <w:spacing w:line="360" w:lineRule="auto"/>
        <w:ind w:firstLine="480" w:firstLineChars="200"/>
        <w:jc w:val="left"/>
        <w:rPr>
          <w:rFonts w:hint="eastAsia" w:ascii="Times New Roman" w:hAnsi="Times New Roman" w:eastAsia="宋体" w:cs="Times New Roman"/>
          <w:kern w:val="0"/>
          <w:sz w:val="24"/>
          <w:lang w:val="en-US" w:eastAsia="zh-CN"/>
        </w:rPr>
      </w:pPr>
      <w:r>
        <w:rPr>
          <w:rFonts w:hint="eastAsia" w:ascii="Times New Roman" w:hAnsi="Times New Roman" w:eastAsia="宋体" w:cs="Times New Roman"/>
          <w:kern w:val="0"/>
          <w:sz w:val="24"/>
          <w:lang w:val="en-US" w:eastAsia="zh-CN"/>
        </w:rPr>
        <w:t>（1）对石刻长廊的构件（石柱、石栏板、石雕等）进行勘察，评估其风化、裂缝、污损程度。</w:t>
      </w:r>
    </w:p>
    <w:p w14:paraId="46D79BA0">
      <w:pPr>
        <w:widowControl/>
        <w:snapToGrid w:val="0"/>
        <w:spacing w:line="360" w:lineRule="auto"/>
        <w:ind w:firstLine="480" w:firstLineChars="200"/>
        <w:jc w:val="left"/>
        <w:rPr>
          <w:rFonts w:hint="eastAsia" w:ascii="Times New Roman" w:hAnsi="Times New Roman" w:eastAsia="宋体" w:cs="Times New Roman"/>
          <w:kern w:val="0"/>
          <w:sz w:val="24"/>
          <w:lang w:val="en-US" w:eastAsia="zh-CN"/>
        </w:rPr>
      </w:pPr>
      <w:r>
        <w:rPr>
          <w:rFonts w:hint="eastAsia" w:ascii="Times New Roman" w:hAnsi="Times New Roman" w:eastAsia="宋体" w:cs="Times New Roman"/>
          <w:kern w:val="0"/>
          <w:sz w:val="24"/>
          <w:lang w:val="en-US" w:eastAsia="zh-CN"/>
        </w:rPr>
        <w:t>（2）设计清洗、脱盐、加固、修补及表面防护的方案。对缺失的雕刻构件，若有可靠依据，可进行谨慎的补配设计。</w:t>
      </w:r>
    </w:p>
    <w:p w14:paraId="2314F004">
      <w:pPr>
        <w:rPr>
          <w:rFonts w:hint="default"/>
          <w:color w:val="auto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6F34FD"/>
    <w:rsid w:val="236F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2026-08-07T07:40:00Z</dcterms:created>
  <dc:creator>suogelaqi</dc:creator>
  <cp:lastModifiedBy>suogelaqi</cp:lastModifiedBy>
  <dcterms:modified xsi:type="dcterms:W3CDTF">2026-08-07T07:47:32Z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E0F957F404034EEC9D4AD72D866E82FB_11</vt:lpwstr>
  </property>
  <property fmtid="{D5CDD505-2E9C-101B-9397-08002B2CF9AE}" pid="4" name="KSOTemplateDocerSaveRecord">
    <vt:lpwstr>eyJoZGlkIjoiN2RhYzM1OTJjN2MwM2U2NjMwZDY5MjZiNWNiM2NhNWEiLCJ1c2VySWQiOiIyMTIyMDMzNzIifQ==</vt:lpwstr>
  </property>
</Properties>
</file>