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2EC7">
      <w:pPr>
        <w:adjustRightInd w:val="0"/>
        <w:spacing w:line="480" w:lineRule="exact"/>
        <w:jc w:val="center"/>
        <w:textAlignment w:val="baseline"/>
        <w:rPr>
          <w:rFonts w:hint="eastAsia" w:ascii="方正小标宋_GBK" w:hAnsi="方正小标宋_GBK" w:eastAsia="方正小标宋_GBK" w:cs="方正小标宋_GBK"/>
          <w:b w:val="0"/>
          <w:bCs/>
          <w:color w:val="000000"/>
          <w:kern w:val="0"/>
          <w:sz w:val="32"/>
          <w:szCs w:val="32"/>
          <w:lang w:val="en-US" w:eastAsia="zh-CN"/>
        </w:rPr>
      </w:pPr>
      <w:r>
        <w:rPr>
          <w:rFonts w:hint="eastAsia" w:ascii="方正小标宋_GBK" w:hAnsi="方正小标宋_GBK" w:eastAsia="方正小标宋_GBK" w:cs="方正小标宋_GBK"/>
          <w:b w:val="0"/>
          <w:bCs/>
          <w:color w:val="000000"/>
          <w:kern w:val="0"/>
          <w:sz w:val="32"/>
          <w:szCs w:val="32"/>
          <w:lang w:val="en-US" w:eastAsia="zh-CN"/>
        </w:rPr>
        <w:t>2027成都武侯祠博物馆年度宣传服务项目服务需求</w:t>
      </w:r>
    </w:p>
    <w:p w14:paraId="554DA635">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p>
    <w:p w14:paraId="02C284AB">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bookmarkStart w:id="0" w:name="_GoBack"/>
      <w:bookmarkEnd w:id="0"/>
      <w:r>
        <w:rPr>
          <w:rFonts w:hint="eastAsia" w:ascii="仿宋_GB2312" w:hAnsi="宋体" w:eastAsia="仿宋_GB2312" w:cs="Times New Roman"/>
          <w:b/>
          <w:bCs/>
          <w:color w:val="000000"/>
          <w:kern w:val="0"/>
          <w:sz w:val="32"/>
          <w:szCs w:val="32"/>
          <w:lang w:val="en-US" w:eastAsia="zh-CN"/>
        </w:rPr>
        <w:t>一、宣发素材准备</w:t>
      </w:r>
    </w:p>
    <w:p w14:paraId="703A0145">
      <w:pPr>
        <w:numPr>
          <w:ilvl w:val="0"/>
          <w:numId w:val="0"/>
        </w:numPr>
        <w:adjustRightInd w:val="0"/>
        <w:spacing w:line="480" w:lineRule="exact"/>
        <w:ind w:firstLine="643" w:firstLineChars="200"/>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（一）原创文稿及文案撰写</w:t>
      </w:r>
    </w:p>
    <w:p w14:paraId="1AF7B3F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日常要求：保障2027年武侯祠博物馆在重要时间节点（五一、5.18国际博物馆日、文化遗产日、端午、国庆、中秋）和重大活动（展览、社教、讲座、志愿者服务）期间，开展整体宣传推广、亮点挖掘，专题宣传稿件撰写不少于20篇；</w:t>
      </w:r>
    </w:p>
    <w:p w14:paraId="37212F23">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2.临时要求：充分保障武侯祠博物馆全年宣传稳步推进，按照博物馆要求完成2027年临时宣传策划、稿件撰写等工作；</w:t>
      </w:r>
    </w:p>
    <w:p w14:paraId="655AE0A2">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3.按照武侯祠博物馆要求对稿件进行适时调整，将稿件调整为适合大众媒体和自媒体等多平台分发的内容；</w:t>
      </w:r>
    </w:p>
    <w:p w14:paraId="52EFAD52">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4.其他有关博物馆全年宣传的文案撰写等配合工作。</w:t>
      </w:r>
    </w:p>
    <w:p w14:paraId="5EA7618A">
      <w:pPr>
        <w:adjustRightInd w:val="0"/>
        <w:spacing w:line="480" w:lineRule="exact"/>
        <w:ind w:firstLine="643"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（二）照片拍摄及直播</w:t>
      </w:r>
    </w:p>
    <w:p w14:paraId="1B6F7C15">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1.服务期内针对武侯祠博物馆重点活动及重要时段开展专题图片拍摄及图片直播不少于8次，每次拍摄时长不少于4个小时，每次提供不少于100张精修成片，不少于150张原片，全年不少于800张精修成片；</w:t>
      </w:r>
    </w:p>
    <w:p w14:paraId="2118BE8D">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2.按照博物馆要求，在必要时候对博物馆美景、社教活动进行图片拍摄。</w:t>
      </w:r>
    </w:p>
    <w:p w14:paraId="07C8ECA4">
      <w:pPr>
        <w:adjustRightInd w:val="0"/>
        <w:spacing w:line="480" w:lineRule="exact"/>
        <w:ind w:firstLine="643" w:firstLineChars="200"/>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（三）原创短视频拍摄及制作</w:t>
      </w:r>
    </w:p>
    <w:p w14:paraId="67C53712">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1.在武侯祠博物馆重大活动、重要时间节点进行短视频原创拍摄，全年不少18条；</w:t>
      </w:r>
    </w:p>
    <w:p w14:paraId="0276D8A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2.按照武侯祠博物馆审美调性，进行短视频剪辑、制作等工作；</w:t>
      </w:r>
    </w:p>
    <w:p w14:paraId="5084B983">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3.短视频时长及精度要求：30秒—2分钟、精度需达到1080p（1920x1080像素）或4K（3840x2160像素）；</w:t>
      </w:r>
    </w:p>
    <w:p w14:paraId="4CAEB831">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4.配合博物馆要求，将拍摄的素材进行分类整理，并按照要求将整理好的素材分发不同媒体，保证媒体对武侯祠博物馆进行视频宣传推广采用。</w:t>
      </w:r>
    </w:p>
    <w:p w14:paraId="48A92EA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5FC23550">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二、宣发渠道对接</w:t>
      </w:r>
    </w:p>
    <w:p w14:paraId="2CF10B4E">
      <w:pPr>
        <w:adjustRightInd w:val="0"/>
        <w:spacing w:line="480" w:lineRule="exact"/>
        <w:ind w:firstLine="643"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（一）常规媒体邀请</w:t>
      </w:r>
    </w:p>
    <w:p w14:paraId="4C773D2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服务期内重大活动、重要时间节点邀请记者现场报道不少于6次，每次不少于10家。</w:t>
      </w:r>
    </w:p>
    <w:p w14:paraId="04654056">
      <w:pPr>
        <w:adjustRightInd w:val="0"/>
        <w:spacing w:line="480" w:lineRule="exact"/>
        <w:ind w:firstLine="643" w:firstLineChars="200"/>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（二）重点保障媒体</w:t>
      </w:r>
    </w:p>
    <w:p w14:paraId="7E87AF08">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服务期内在央级、省市区各级媒体重要平台发布有关武侯祠专题新闻报道不少于800篇次；其中，央级及国际媒体报道不少于200次。</w:t>
      </w:r>
    </w:p>
    <w:p w14:paraId="4E30118D">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6144F7C9">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三、行业媒体保障</w:t>
      </w:r>
    </w:p>
    <w:p w14:paraId="3C95BD7A">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服务期内，在重要时间节点或重大事件期间，在主流媒体和行业媒体上进行武侯祠博物馆亮点经验呈现。</w:t>
      </w:r>
    </w:p>
    <w:p w14:paraId="77BF5269">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（一）充分保障《中国文物报》二分之一版面宣传1次，字数不少于2000字，图片1—2张；</w:t>
      </w:r>
    </w:p>
    <w:p w14:paraId="05EA29A4">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（二）在博物馆头条及其新媒体矩阵至少发布5次，字数不少于1000字，图片1—2张；视频发布2次，不少于15″，直播不少于2场。</w:t>
      </w:r>
    </w:p>
    <w:p w14:paraId="29F206F3">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6510B824">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四、事件营销策划</w:t>
      </w:r>
    </w:p>
    <w:p w14:paraId="5639C65C">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一）服务期内，在重要时间节点或重大活动期间，配合重要媒体报道开展新闻事件策划及执行，进行武侯祠博物馆正面形象营造及传播，如KOC、KOL传播、外籍人士深度参与武侯祠各项活动、特殊群体参与武侯祠活动等，全年不少于2次。</w:t>
      </w:r>
    </w:p>
    <w:p w14:paraId="14FEEB75">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（二）服务期内，在重要时间节点或重大事件期间，与主流媒体开展新闻事件营销，进行宣传亮点包装和呈现。全年不少于1次。</w:t>
      </w:r>
    </w:p>
    <w:p w14:paraId="148CE20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6855D637">
      <w:pPr>
        <w:numPr>
          <w:numId w:val="0"/>
        </w:numPr>
        <w:adjustRightInd w:val="0"/>
        <w:spacing w:line="480" w:lineRule="exact"/>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五、直播活动</w:t>
      </w:r>
    </w:p>
    <w:p w14:paraId="3A9E45E9">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服务期内，在重要时间节点或重大活动期间，依托武侯祠博物馆视频号、抖音号、微博等平台开展直播活动，全年不少3场，每场直播时长不少于30分钟；并协助向主流媒体、政务媒体进行推流。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2279"/>
    <w:rsid w:val="3A516B19"/>
    <w:rsid w:val="51582717"/>
    <w:rsid w:val="52D6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1087</Words>
  <Characters>1153</Characters>
  <Lines>0</Lines>
  <Paragraphs>0</Paragraphs>
  <TotalTime>4</TotalTime>
  <ScaleCrop>false</ScaleCrop>
  <LinksUpToDate>false</LinksUpToDate>
  <CharactersWithSpaces>1153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2026-07-16T03:13:00Z</dcterms:created>
  <dc:creator>Administrator</dc:creator>
  <cp:lastModifiedBy>明乡</cp:lastModifiedBy>
  <dcterms:modified xsi:type="dcterms:W3CDTF">2026-07-16T08:36:03Z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eyJoZGlkIjoiNDI3NjY2NzExODg3YWExZjQ1ZDg1MWIxOTdjYzQ2ODQiLCJ1c2VySWQiOiI5Nzk0ODg3MTgifQ==</vt:lpwstr>
  </property>
  <property fmtid="{D5CDD505-2E9C-101B-9397-08002B2CF9AE}" pid="4" name="ICV">
    <vt:lpwstr>897E58DCBDF24F15A6191AC96983753E_12</vt:lpwstr>
  </property>
</Properties>
</file>