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210CE" w14:textId="23EB00F8" w:rsidR="00D800A8" w:rsidRDefault="00D800A8" w:rsidP="00D800A8">
      <w:pPr>
        <w:spacing w:line="580" w:lineRule="exact"/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 xml:space="preserve">                    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采购需求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单</w:t>
      </w:r>
    </w:p>
    <w:tbl>
      <w:tblPr>
        <w:tblStyle w:val="ab"/>
        <w:tblW w:w="10207" w:type="dxa"/>
        <w:tblInd w:w="-743" w:type="dxa"/>
        <w:tblLook w:val="04A0" w:firstRow="1" w:lastRow="0" w:firstColumn="1" w:lastColumn="0" w:noHBand="0" w:noVBand="1"/>
      </w:tblPr>
      <w:tblGrid>
        <w:gridCol w:w="1560"/>
        <w:gridCol w:w="8647"/>
      </w:tblGrid>
      <w:tr w:rsidR="00D800A8" w14:paraId="28F26931" w14:textId="77777777" w:rsidTr="008C7D08">
        <w:tc>
          <w:tcPr>
            <w:tcW w:w="1560" w:type="dxa"/>
          </w:tcPr>
          <w:p w14:paraId="2B2B9531" w14:textId="77777777" w:rsidR="00D800A8" w:rsidRDefault="00D800A8" w:rsidP="008C7D08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项目名称</w:t>
            </w:r>
          </w:p>
        </w:tc>
        <w:tc>
          <w:tcPr>
            <w:tcW w:w="8647" w:type="dxa"/>
          </w:tcPr>
          <w:p w14:paraId="42073112" w14:textId="6B20AD5A" w:rsidR="00D800A8" w:rsidRPr="00FC2878" w:rsidRDefault="00D800A8" w:rsidP="008C7D08">
            <w:pPr>
              <w:pStyle w:val="4"/>
              <w:widowControl/>
              <w:shd w:val="clear" w:color="auto" w:fill="FFFFFF"/>
              <w:spacing w:before="75" w:beforeAutospacing="0" w:after="75" w:afterAutospacing="0" w:line="360" w:lineRule="auto"/>
              <w:jc w:val="center"/>
              <w:rPr>
                <w:rFonts w:hint="default"/>
              </w:rPr>
            </w:pPr>
            <w:r w:rsidRPr="00FC2878">
              <w:rPr>
                <w:b w:val="0"/>
                <w:bCs w:val="0"/>
                <w:kern w:val="2"/>
                <w:lang w:val="zh-TW"/>
              </w:rPr>
              <w:t>成都武侯祠智能票务线上预约系统</w:t>
            </w:r>
            <w:proofErr w:type="gramStart"/>
            <w:r w:rsidRPr="00FC2878">
              <w:rPr>
                <w:b w:val="0"/>
                <w:bCs w:val="0"/>
                <w:kern w:val="2"/>
                <w:lang w:val="zh-TW"/>
              </w:rPr>
              <w:t>2026年</w:t>
            </w:r>
            <w:r w:rsidR="005D12A6">
              <w:rPr>
                <w:b w:val="0"/>
                <w:bCs w:val="0"/>
                <w:kern w:val="2"/>
                <w:lang w:val="zh-TW"/>
              </w:rPr>
              <w:t>密评服务</w:t>
            </w:r>
            <w:proofErr w:type="gramEnd"/>
            <w:r w:rsidRPr="00FC2878">
              <w:rPr>
                <w:b w:val="0"/>
                <w:bCs w:val="0"/>
                <w:kern w:val="2"/>
                <w:lang w:val="zh-TW"/>
              </w:rPr>
              <w:t>项目</w:t>
            </w:r>
          </w:p>
        </w:tc>
      </w:tr>
      <w:tr w:rsidR="00D800A8" w14:paraId="6795DD47" w14:textId="77777777" w:rsidTr="008C7D08">
        <w:tc>
          <w:tcPr>
            <w:tcW w:w="1560" w:type="dxa"/>
          </w:tcPr>
          <w:p w14:paraId="76BA349F" w14:textId="77777777" w:rsidR="00D800A8" w:rsidRDefault="00D800A8" w:rsidP="008C7D08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服务期限</w:t>
            </w:r>
          </w:p>
        </w:tc>
        <w:tc>
          <w:tcPr>
            <w:tcW w:w="8647" w:type="dxa"/>
          </w:tcPr>
          <w:p w14:paraId="60819DF6" w14:textId="77777777" w:rsidR="00D800A8" w:rsidRPr="00FC2878" w:rsidRDefault="00D800A8" w:rsidP="008C7D08">
            <w:pPr>
              <w:pStyle w:val="a9"/>
              <w:spacing w:line="360" w:lineRule="auto"/>
              <w:ind w:firstLineChars="0" w:firstLine="0"/>
              <w:jc w:val="center"/>
              <w:rPr>
                <w:rFonts w:hAnsi="宋体"/>
                <w:color w:val="auto"/>
                <w:sz w:val="24"/>
              </w:rPr>
            </w:pPr>
            <w:r w:rsidRPr="00FC2878">
              <w:rPr>
                <w:rFonts w:hAnsi="宋体" w:hint="eastAsia"/>
                <w:bCs/>
                <w:color w:val="auto"/>
                <w:kern w:val="0"/>
                <w:sz w:val="24"/>
              </w:rPr>
              <w:t>自合同签订之日起一年内</w:t>
            </w:r>
          </w:p>
        </w:tc>
      </w:tr>
      <w:tr w:rsidR="00D800A8" w14:paraId="56736B41" w14:textId="77777777" w:rsidTr="008C7D08">
        <w:trPr>
          <w:trHeight w:val="11901"/>
        </w:trPr>
        <w:tc>
          <w:tcPr>
            <w:tcW w:w="1560" w:type="dxa"/>
          </w:tcPr>
          <w:p w14:paraId="7B56D0BE" w14:textId="77777777" w:rsidR="00D800A8" w:rsidRDefault="00D800A8" w:rsidP="008C7D08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项目需求</w:t>
            </w:r>
          </w:p>
        </w:tc>
        <w:tc>
          <w:tcPr>
            <w:tcW w:w="8647" w:type="dxa"/>
            <w:vMerge w:val="restart"/>
          </w:tcPr>
          <w:p w14:paraId="5BC8869E" w14:textId="77777777" w:rsidR="005D12A6" w:rsidRDefault="005D12A6" w:rsidP="005D12A6">
            <w:pPr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lang w:val="zh-TW" w:eastAsia="zh-TW"/>
              </w:rPr>
            </w:pPr>
            <w:bookmarkStart w:id="0" w:name="OLE_LINK2"/>
            <w:bookmarkStart w:id="1" w:name="OLE_LINK1"/>
            <w:bookmarkStart w:id="2" w:name="OLE_LINK3"/>
            <w:bookmarkStart w:id="3" w:name="OLE_LINK5"/>
            <w:bookmarkStart w:id="4" w:name="OLE_LINK6"/>
            <w:r>
              <w:rPr>
                <w:rFonts w:ascii="宋体" w:hAnsi="宋体" w:hint="eastAsia"/>
                <w:b/>
                <w:kern w:val="0"/>
                <w:sz w:val="24"/>
              </w:rPr>
              <w:t>一、项目</w:t>
            </w:r>
            <w:r>
              <w:rPr>
                <w:rFonts w:ascii="宋体" w:hAnsi="宋体" w:hint="eastAsia"/>
                <w:b/>
                <w:kern w:val="0"/>
                <w:sz w:val="24"/>
                <w:lang w:val="zh-TW"/>
              </w:rPr>
              <w:t>概况</w:t>
            </w:r>
          </w:p>
          <w:p w14:paraId="36E13F47" w14:textId="77777777" w:rsidR="005D12A6" w:rsidRDefault="005D12A6" w:rsidP="005D12A6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outlineLvl w:val="1"/>
              <w:rPr>
                <w:rFonts w:ascii="宋体" w:hAnsi="宋体"/>
                <w:sz w:val="24"/>
                <w:lang w:val="zh-TW"/>
              </w:rPr>
            </w:pPr>
            <w:bookmarkStart w:id="5" w:name="_Toc21755"/>
            <w:r>
              <w:rPr>
                <w:rFonts w:ascii="宋体" w:hAnsi="宋体" w:hint="eastAsia"/>
                <w:sz w:val="24"/>
                <w:lang w:val="zh-TW"/>
              </w:rPr>
              <w:t>为</w:t>
            </w:r>
            <w:r>
              <w:rPr>
                <w:rFonts w:ascii="宋体" w:hAnsi="宋体" w:hint="eastAsia"/>
                <w:sz w:val="24"/>
              </w:rPr>
              <w:t>保障成都武侯祠智能票务线上预约系统网络安全并正常运行</w:t>
            </w:r>
            <w:r>
              <w:rPr>
                <w:rFonts w:ascii="宋体" w:hAnsi="宋体" w:hint="eastAsia"/>
                <w:sz w:val="24"/>
                <w:lang w:val="zh-TW"/>
              </w:rPr>
              <w:t>，拟</w:t>
            </w:r>
            <w:r>
              <w:rPr>
                <w:rFonts w:ascii="宋体" w:hAnsi="宋体" w:hint="eastAsia"/>
                <w:sz w:val="24"/>
              </w:rPr>
              <w:t>对成都武侯祠智能票务线上预约系统2026年</w:t>
            </w:r>
            <w:r w:rsidRPr="001F253F">
              <w:rPr>
                <w:rFonts w:ascii="宋体" w:hAnsi="宋体"/>
                <w:sz w:val="24"/>
              </w:rPr>
              <w:t>商用密码应用安全性评估</w:t>
            </w:r>
            <w:r>
              <w:rPr>
                <w:rFonts w:ascii="宋体" w:hAnsi="宋体" w:hint="eastAsia"/>
                <w:sz w:val="24"/>
              </w:rPr>
              <w:t>项目进项采购</w:t>
            </w:r>
            <w:r>
              <w:rPr>
                <w:rFonts w:ascii="宋体" w:hAnsi="宋体" w:hint="eastAsia"/>
                <w:sz w:val="24"/>
                <w:lang w:val="zh-TW"/>
              </w:rPr>
              <w:t>。</w:t>
            </w:r>
          </w:p>
          <w:p w14:paraId="7A456580" w14:textId="77777777" w:rsidR="005D12A6" w:rsidRDefault="005D12A6" w:rsidP="005D12A6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outlineLvl w:val="1"/>
              <w:rPr>
                <w:rFonts w:ascii="宋体" w:hAnsi="宋体"/>
                <w:b/>
                <w:kern w:val="44"/>
                <w:sz w:val="24"/>
              </w:rPr>
            </w:pPr>
            <w:r>
              <w:rPr>
                <w:rFonts w:ascii="宋体" w:hAnsi="宋体" w:hint="eastAsia"/>
                <w:b/>
                <w:kern w:val="44"/>
                <w:sz w:val="24"/>
              </w:rPr>
              <w:t>服务内容</w:t>
            </w:r>
            <w:bookmarkEnd w:id="5"/>
          </w:p>
          <w:p w14:paraId="5353D01E" w14:textId="77777777" w:rsidR="005D12A6" w:rsidRDefault="005D12A6" w:rsidP="005D12A6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对成都武侯祠智能票务线上预约系统</w:t>
            </w:r>
            <w:r>
              <w:rPr>
                <w:rFonts w:ascii="宋体" w:hAnsi="宋体"/>
                <w:sz w:val="24"/>
              </w:rPr>
              <w:t>进行</w:t>
            </w:r>
            <w:r w:rsidRPr="001F253F">
              <w:rPr>
                <w:rFonts w:ascii="宋体" w:hAnsi="宋体"/>
                <w:sz w:val="24"/>
              </w:rPr>
              <w:t>商用密码应用安全性评估</w:t>
            </w:r>
            <w:r>
              <w:rPr>
                <w:rFonts w:ascii="宋体" w:hAnsi="宋体"/>
                <w:sz w:val="24"/>
              </w:rPr>
              <w:t>，覆盖：系统调研、方案编制、现场测评、整改建议、报告编制等</w:t>
            </w:r>
            <w:proofErr w:type="gramStart"/>
            <w:r>
              <w:rPr>
                <w:rFonts w:ascii="宋体" w:hAnsi="宋体"/>
                <w:sz w:val="24"/>
              </w:rPr>
              <w:t>测评全</w:t>
            </w:r>
            <w:proofErr w:type="gramEnd"/>
            <w:r>
              <w:rPr>
                <w:rFonts w:ascii="宋体" w:hAnsi="宋体"/>
                <w:sz w:val="24"/>
              </w:rPr>
              <w:t>流程，确保目标系统通过评估，取得合</w:t>
            </w:r>
            <w:proofErr w:type="gramStart"/>
            <w:r>
              <w:rPr>
                <w:rFonts w:ascii="宋体" w:hAnsi="宋体"/>
                <w:sz w:val="24"/>
              </w:rPr>
              <w:t>规</w:t>
            </w:r>
            <w:proofErr w:type="gramEnd"/>
            <w:r>
              <w:rPr>
                <w:rFonts w:ascii="宋体" w:hAnsi="宋体"/>
                <w:sz w:val="24"/>
              </w:rPr>
              <w:t>测评报告并完成当地密码局备案。</w:t>
            </w:r>
          </w:p>
          <w:p w14:paraId="5163E909" w14:textId="77777777" w:rsidR="005D12A6" w:rsidRDefault="005D12A6" w:rsidP="005D12A6">
            <w:pPr>
              <w:pStyle w:val="null3"/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hAnsi="宋体" w:hint="default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kern w:val="2"/>
                <w:sz w:val="24"/>
                <w:szCs w:val="24"/>
              </w:rPr>
              <w:t>服务质量要求</w:t>
            </w:r>
          </w:p>
          <w:p w14:paraId="00EFEBD2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bookmarkStart w:id="6" w:name="heading_0"/>
            <w:bookmarkEnd w:id="0"/>
            <w:bookmarkEnd w:id="1"/>
            <w:bookmarkEnd w:id="2"/>
            <w:r w:rsidRPr="003C1D97">
              <w:rPr>
                <w:rFonts w:ascii="宋体" w:hAnsi="宋体"/>
                <w:b/>
                <w:sz w:val="24"/>
              </w:rPr>
              <w:t>1. 总体要求</w:t>
            </w:r>
            <w:bookmarkEnd w:id="6"/>
          </w:p>
          <w:p w14:paraId="0F3679D6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本项目需按照国家商用密码相关法律法规及标准规范，对采购对应信息系统开展商用密码应用安全性评估工作，排查密码应用安全风险、整改合</w:t>
            </w:r>
            <w:proofErr w:type="gramStart"/>
            <w:r w:rsidRPr="003C1D97">
              <w:rPr>
                <w:rFonts w:ascii="宋体" w:hAnsi="宋体"/>
                <w:sz w:val="24"/>
              </w:rPr>
              <w:t>规</w:t>
            </w:r>
            <w:proofErr w:type="gramEnd"/>
            <w:r w:rsidRPr="003C1D97">
              <w:rPr>
                <w:rFonts w:ascii="宋体" w:hAnsi="宋体"/>
                <w:sz w:val="24"/>
              </w:rPr>
              <w:t>问题，确保系统密码应用合法、规范、安全，完全满足监管核查及备案要求，全程不得影响现有业务系统正常运行。</w:t>
            </w:r>
          </w:p>
          <w:p w14:paraId="37ECB01B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b/>
                <w:sz w:val="24"/>
              </w:rPr>
              <w:t>测评依据</w:t>
            </w:r>
            <w:r w:rsidRPr="003C1D97">
              <w:rPr>
                <w:rFonts w:ascii="宋体" w:hAnsi="宋体"/>
                <w:sz w:val="24"/>
              </w:rPr>
              <w:t>：《商用密码管理条例》《商用密码应用安全性评估管理办法》、GB/T 39786-2021、GM/T 0116-2021、GM/T 0117-2021及国家密码管理局相关量化评估规则。</w:t>
            </w:r>
          </w:p>
          <w:p w14:paraId="0E2CC4FB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bookmarkStart w:id="7" w:name="heading_1"/>
            <w:r w:rsidRPr="003C1D97">
              <w:rPr>
                <w:rFonts w:ascii="宋体" w:hAnsi="宋体"/>
                <w:b/>
                <w:sz w:val="24"/>
              </w:rPr>
              <w:t>2. 投标人资格及人员要求</w:t>
            </w:r>
            <w:bookmarkEnd w:id="7"/>
          </w:p>
          <w:p w14:paraId="668D7FC9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2.1 投标人须具备国家密码管理局认可的商用密码应用安全性评估资质，具备</w:t>
            </w:r>
            <w:proofErr w:type="gramStart"/>
            <w:r w:rsidRPr="003C1D97">
              <w:rPr>
                <w:rFonts w:ascii="宋体" w:hAnsi="宋体"/>
                <w:sz w:val="24"/>
              </w:rPr>
              <w:t>合法密评从业</w:t>
            </w:r>
            <w:proofErr w:type="gramEnd"/>
            <w:r w:rsidRPr="003C1D97">
              <w:rPr>
                <w:rFonts w:ascii="宋体" w:hAnsi="宋体"/>
                <w:sz w:val="24"/>
              </w:rPr>
              <w:t>资格，投标文件需附资质证明材料并加盖公章。</w:t>
            </w:r>
          </w:p>
          <w:p w14:paraId="5D6C4179" w14:textId="77777777" w:rsidR="005D12A6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2.2 项目团队需配备不少于3名</w:t>
            </w:r>
            <w:proofErr w:type="gramStart"/>
            <w:r w:rsidRPr="003C1D97">
              <w:rPr>
                <w:rFonts w:ascii="宋体" w:hAnsi="宋体"/>
                <w:sz w:val="24"/>
              </w:rPr>
              <w:t>持证密评专业人员</w:t>
            </w:r>
            <w:proofErr w:type="gramEnd"/>
            <w:r w:rsidRPr="003C1D97">
              <w:rPr>
                <w:rFonts w:ascii="宋体" w:hAnsi="宋体"/>
                <w:sz w:val="24"/>
              </w:rPr>
              <w:t>，设置</w:t>
            </w:r>
            <w:proofErr w:type="gramStart"/>
            <w:r w:rsidRPr="003C1D97">
              <w:rPr>
                <w:rFonts w:ascii="宋体" w:hAnsi="宋体"/>
                <w:sz w:val="24"/>
              </w:rPr>
              <w:t>专职项目</w:t>
            </w:r>
            <w:proofErr w:type="gramEnd"/>
            <w:r w:rsidRPr="003C1D97">
              <w:rPr>
                <w:rFonts w:ascii="宋体" w:hAnsi="宋体"/>
                <w:sz w:val="24"/>
              </w:rPr>
              <w:t>负责人1名，全程负责项目实施、对接、整改指导及验收工作。</w:t>
            </w:r>
          </w:p>
          <w:p w14:paraId="1D1897AD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2.3 </w:t>
            </w:r>
            <w:r w:rsidRPr="001853D8">
              <w:rPr>
                <w:rFonts w:ascii="宋体" w:hAnsi="宋体"/>
                <w:sz w:val="24"/>
              </w:rPr>
              <w:t>驻场要求：测评阶段现场驻守天数不少于五个工作日</w:t>
            </w:r>
          </w:p>
          <w:p w14:paraId="537F7DB8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4</w:t>
            </w:r>
            <w:r w:rsidRPr="003C1D97">
              <w:rPr>
                <w:rFonts w:ascii="宋体" w:hAnsi="宋体"/>
                <w:sz w:val="24"/>
              </w:rPr>
              <w:t xml:space="preserve"> 投标人具备独立合</w:t>
            </w:r>
            <w:proofErr w:type="gramStart"/>
            <w:r w:rsidRPr="003C1D97">
              <w:rPr>
                <w:rFonts w:ascii="宋体" w:hAnsi="宋体"/>
                <w:sz w:val="24"/>
              </w:rPr>
              <w:t>规</w:t>
            </w:r>
            <w:proofErr w:type="gramEnd"/>
            <w:r w:rsidRPr="003C1D97">
              <w:rPr>
                <w:rFonts w:ascii="宋体" w:hAnsi="宋体"/>
                <w:sz w:val="24"/>
              </w:rPr>
              <w:t>的密评测</w:t>
            </w:r>
            <w:proofErr w:type="gramStart"/>
            <w:r w:rsidRPr="003C1D97">
              <w:rPr>
                <w:rFonts w:ascii="宋体" w:hAnsi="宋体"/>
                <w:sz w:val="24"/>
              </w:rPr>
              <w:t>试环境</w:t>
            </w:r>
            <w:proofErr w:type="gramEnd"/>
            <w:r w:rsidRPr="003C1D97">
              <w:rPr>
                <w:rFonts w:ascii="宋体" w:hAnsi="宋体"/>
                <w:sz w:val="24"/>
              </w:rPr>
              <w:t>及专业商用密码检测工具，严禁在生产系统开展破坏性测试，签订专项保密协议，保障甲方业务数据、系统资料全程保密。</w:t>
            </w:r>
          </w:p>
          <w:p w14:paraId="5D06ECAF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bookmarkStart w:id="8" w:name="heading_2"/>
            <w:r w:rsidRPr="003C1D97">
              <w:rPr>
                <w:rFonts w:ascii="宋体" w:hAnsi="宋体"/>
                <w:b/>
                <w:sz w:val="24"/>
              </w:rPr>
              <w:lastRenderedPageBreak/>
              <w:t>3. 服务实施技术要求</w:t>
            </w:r>
            <w:bookmarkEnd w:id="8"/>
          </w:p>
          <w:p w14:paraId="6DB2E48A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3.1 中标后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3C1D97">
              <w:rPr>
                <w:rFonts w:ascii="宋体" w:hAnsi="宋体"/>
                <w:sz w:val="24"/>
              </w:rPr>
              <w:t>个工作日内提交</w:t>
            </w:r>
            <w:proofErr w:type="gramStart"/>
            <w:r w:rsidRPr="003C1D97">
              <w:rPr>
                <w:rFonts w:ascii="宋体" w:hAnsi="宋体"/>
                <w:sz w:val="24"/>
              </w:rPr>
              <w:t>正式密评实施</w:t>
            </w:r>
            <w:proofErr w:type="gramEnd"/>
            <w:r w:rsidRPr="003C1D97">
              <w:rPr>
                <w:rFonts w:ascii="宋体" w:hAnsi="宋体"/>
                <w:sz w:val="24"/>
              </w:rPr>
              <w:t>方案，明确评估范围、测评流程、人员分工、进度计划，经采购人审核确认后启动实施。</w:t>
            </w:r>
          </w:p>
          <w:p w14:paraId="02F682B7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3.2 采用文档审查、配置核查、工具检测、现场访谈、证据留存相结合的方式，完成全维度密码应用安全测评，完整留存测评截图、日志、配置记录等原始取证资料。</w:t>
            </w:r>
          </w:p>
          <w:p w14:paraId="46014E44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3.3 完成初评后出具详细问题清单，明确风险等级、违规依据、整改方案，免费协助采购人完成密码安全整改、优化及复核工作，直至全部风险问题闭环。</w:t>
            </w:r>
          </w:p>
          <w:p w14:paraId="3B2471DB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3.4 提供常态化技术响应服务，工作时间2小时内答疑，紧急问题4小时内现场支撑，全程配合采购人应对监管检查。</w:t>
            </w:r>
          </w:p>
          <w:p w14:paraId="00309F4D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bookmarkStart w:id="9" w:name="heading_3"/>
            <w:r w:rsidRPr="003C1D97">
              <w:rPr>
                <w:rFonts w:ascii="宋体" w:hAnsi="宋体"/>
                <w:b/>
                <w:sz w:val="24"/>
              </w:rPr>
              <w:t>4. 核心测评内容要求</w:t>
            </w:r>
            <w:bookmarkEnd w:id="9"/>
          </w:p>
          <w:p w14:paraId="645BFE0C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 xml:space="preserve">4.1 </w:t>
            </w:r>
            <w:r w:rsidRPr="003C1D97">
              <w:rPr>
                <w:rFonts w:ascii="宋体" w:hAnsi="宋体"/>
                <w:b/>
                <w:sz w:val="24"/>
              </w:rPr>
              <w:t>安全层面测评</w:t>
            </w:r>
            <w:r w:rsidRPr="003C1D97">
              <w:rPr>
                <w:rFonts w:ascii="宋体" w:hAnsi="宋体"/>
                <w:sz w:val="24"/>
              </w:rPr>
              <w:t>：覆盖物理与环境安全、网络与通信安全、设备与计算安全、应用与数据安全四大层面，核查身份鉴别、传输加密、存储加密、数据完整性、日志安全、密钥防护等核心内容。</w:t>
            </w:r>
          </w:p>
          <w:p w14:paraId="382E1197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 xml:space="preserve">4.2 </w:t>
            </w:r>
            <w:r w:rsidRPr="003C1D97">
              <w:rPr>
                <w:rFonts w:ascii="宋体" w:hAnsi="宋体"/>
                <w:b/>
                <w:sz w:val="24"/>
              </w:rPr>
              <w:t>密码合</w:t>
            </w:r>
            <w:proofErr w:type="gramStart"/>
            <w:r w:rsidRPr="003C1D97">
              <w:rPr>
                <w:rFonts w:ascii="宋体" w:hAnsi="宋体"/>
                <w:b/>
                <w:sz w:val="24"/>
              </w:rPr>
              <w:t>规</w:t>
            </w:r>
            <w:proofErr w:type="gramEnd"/>
            <w:r w:rsidRPr="003C1D97">
              <w:rPr>
                <w:rFonts w:ascii="宋体" w:hAnsi="宋体"/>
                <w:b/>
                <w:sz w:val="24"/>
              </w:rPr>
              <w:t>测评</w:t>
            </w:r>
            <w:r w:rsidRPr="003C1D97">
              <w:rPr>
                <w:rFonts w:ascii="宋体" w:hAnsi="宋体"/>
                <w:sz w:val="24"/>
              </w:rPr>
              <w:t>：核查系统所用密码算法、密码产品、密码服务合</w:t>
            </w:r>
            <w:proofErr w:type="gramStart"/>
            <w:r w:rsidRPr="003C1D97">
              <w:rPr>
                <w:rFonts w:ascii="宋体" w:hAnsi="宋体"/>
                <w:sz w:val="24"/>
              </w:rPr>
              <w:t>规</w:t>
            </w:r>
            <w:proofErr w:type="gramEnd"/>
            <w:r w:rsidRPr="003C1D97">
              <w:rPr>
                <w:rFonts w:ascii="宋体" w:hAnsi="宋体"/>
                <w:sz w:val="24"/>
              </w:rPr>
              <w:t>性，必须采用SM2、SM3、SM4等国密标准算法，所用商用密码产品需具备国家核准资质，杜绝使用不合</w:t>
            </w:r>
            <w:proofErr w:type="gramStart"/>
            <w:r w:rsidRPr="003C1D97">
              <w:rPr>
                <w:rFonts w:ascii="宋体" w:hAnsi="宋体"/>
                <w:sz w:val="24"/>
              </w:rPr>
              <w:t>规</w:t>
            </w:r>
            <w:proofErr w:type="gramEnd"/>
            <w:r w:rsidRPr="003C1D97">
              <w:rPr>
                <w:rFonts w:ascii="宋体" w:hAnsi="宋体"/>
                <w:sz w:val="24"/>
              </w:rPr>
              <w:t>密码产品及算法。</w:t>
            </w:r>
          </w:p>
          <w:p w14:paraId="5A65A00D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 xml:space="preserve">4.3 </w:t>
            </w:r>
            <w:r w:rsidRPr="003C1D97">
              <w:rPr>
                <w:rFonts w:ascii="宋体" w:hAnsi="宋体"/>
                <w:b/>
                <w:sz w:val="24"/>
              </w:rPr>
              <w:t>密钥全生命周期管理测评</w:t>
            </w:r>
            <w:r w:rsidRPr="003C1D97">
              <w:rPr>
                <w:rFonts w:ascii="宋体" w:hAnsi="宋体"/>
                <w:sz w:val="24"/>
              </w:rPr>
              <w:t>：核查密钥生成、分发、存储、使用、更新、备份、销毁全流程管控机制，确保密钥分级管控、专人专管、安全可控。</w:t>
            </w:r>
          </w:p>
          <w:p w14:paraId="07B9F688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 xml:space="preserve">4.4 </w:t>
            </w:r>
            <w:r w:rsidRPr="003C1D97">
              <w:rPr>
                <w:rFonts w:ascii="宋体" w:hAnsi="宋体"/>
                <w:b/>
                <w:sz w:val="24"/>
              </w:rPr>
              <w:t>密码管理制度测评</w:t>
            </w:r>
            <w:r w:rsidRPr="003C1D97">
              <w:rPr>
                <w:rFonts w:ascii="宋体" w:hAnsi="宋体"/>
                <w:sz w:val="24"/>
              </w:rPr>
              <w:t>：核查密码安全管理制度、岗位分工、人员培训、应急处置、日常自查等管理体系合</w:t>
            </w:r>
            <w:proofErr w:type="gramStart"/>
            <w:r w:rsidRPr="003C1D97">
              <w:rPr>
                <w:rFonts w:ascii="宋体" w:hAnsi="宋体"/>
                <w:sz w:val="24"/>
              </w:rPr>
              <w:t>规</w:t>
            </w:r>
            <w:proofErr w:type="gramEnd"/>
            <w:r w:rsidRPr="003C1D97">
              <w:rPr>
                <w:rFonts w:ascii="宋体" w:hAnsi="宋体"/>
                <w:sz w:val="24"/>
              </w:rPr>
              <w:t>性。</w:t>
            </w:r>
          </w:p>
          <w:p w14:paraId="043370CA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bookmarkStart w:id="10" w:name="heading_4"/>
            <w:r w:rsidRPr="003C1D97">
              <w:rPr>
                <w:rFonts w:ascii="宋体" w:hAnsi="宋体"/>
                <w:b/>
                <w:sz w:val="24"/>
              </w:rPr>
              <w:t>5. 项目交付成果要求</w:t>
            </w:r>
            <w:bookmarkEnd w:id="10"/>
          </w:p>
          <w:p w14:paraId="447A9D65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5.1 全套过程资料：</w:t>
            </w:r>
            <w:proofErr w:type="gramStart"/>
            <w:r w:rsidRPr="003C1D97">
              <w:rPr>
                <w:rFonts w:ascii="宋体" w:hAnsi="宋体"/>
                <w:sz w:val="24"/>
              </w:rPr>
              <w:t>密评实施</w:t>
            </w:r>
            <w:proofErr w:type="gramEnd"/>
            <w:r w:rsidRPr="003C1D97">
              <w:rPr>
                <w:rFonts w:ascii="宋体" w:hAnsi="宋体"/>
                <w:sz w:val="24"/>
              </w:rPr>
              <w:t>方案、现场测评记录、原始取证材料、安全风险问题清单、整改技术方案、整改复核记录。</w:t>
            </w:r>
          </w:p>
          <w:p w14:paraId="2EF50562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5.2 正式《商用密码应用安全性评估报告》（纸质版不少于3份+加密电子版），报告内容完整、结论合</w:t>
            </w:r>
            <w:proofErr w:type="gramStart"/>
            <w:r w:rsidRPr="003C1D97">
              <w:rPr>
                <w:rFonts w:ascii="宋体" w:hAnsi="宋体"/>
                <w:sz w:val="24"/>
              </w:rPr>
              <w:t>规</w:t>
            </w:r>
            <w:proofErr w:type="gramEnd"/>
            <w:r w:rsidRPr="003C1D97">
              <w:rPr>
                <w:rFonts w:ascii="宋体" w:hAnsi="宋体"/>
                <w:sz w:val="24"/>
              </w:rPr>
              <w:t>，符合国密局备案及抽查标准。</w:t>
            </w:r>
          </w:p>
          <w:p w14:paraId="08DC4457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5.3 商用密码应用优化整改方案，明确短期整改措施及长期安全加固建议。</w:t>
            </w:r>
          </w:p>
          <w:p w14:paraId="053678E1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bookmarkStart w:id="11" w:name="heading_5"/>
            <w:r w:rsidRPr="003C1D97">
              <w:rPr>
                <w:rFonts w:ascii="宋体" w:hAnsi="宋体"/>
                <w:b/>
                <w:sz w:val="24"/>
              </w:rPr>
              <w:t>6. 验收标准</w:t>
            </w:r>
            <w:bookmarkEnd w:id="11"/>
          </w:p>
          <w:p w14:paraId="15C7F6DB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6.1 系统所有高、中风险密码安全问题全部整改完成并复核闭环，无遗留重大安</w:t>
            </w:r>
            <w:r w:rsidRPr="003C1D97">
              <w:rPr>
                <w:rFonts w:ascii="宋体" w:hAnsi="宋体"/>
                <w:sz w:val="24"/>
              </w:rPr>
              <w:lastRenderedPageBreak/>
              <w:t>全隐患。</w:t>
            </w:r>
          </w:p>
          <w:p w14:paraId="3355DBFE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6.2 系统密码应用完全符合GB/T 39786-2021对应安全等级要求，整体测评结论合格。</w:t>
            </w:r>
          </w:p>
          <w:p w14:paraId="7FE56E18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6.3 交付资料完整规范、证据链齐全，报告合</w:t>
            </w:r>
            <w:proofErr w:type="gramStart"/>
            <w:r w:rsidRPr="003C1D97">
              <w:rPr>
                <w:rFonts w:ascii="宋体" w:hAnsi="宋体"/>
                <w:sz w:val="24"/>
              </w:rPr>
              <w:t>规</w:t>
            </w:r>
            <w:proofErr w:type="gramEnd"/>
            <w:r w:rsidRPr="003C1D97">
              <w:rPr>
                <w:rFonts w:ascii="宋体" w:hAnsi="宋体"/>
                <w:sz w:val="24"/>
              </w:rPr>
              <w:t>有效，可顺利通过密码管理部门监督检查及备案核查。</w:t>
            </w:r>
          </w:p>
          <w:p w14:paraId="1FBD9238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bookmarkStart w:id="12" w:name="heading_6"/>
            <w:r w:rsidRPr="003C1D97">
              <w:rPr>
                <w:rFonts w:ascii="宋体" w:hAnsi="宋体"/>
                <w:b/>
                <w:sz w:val="24"/>
              </w:rPr>
              <w:t>7. 售后保障要求</w:t>
            </w:r>
            <w:bookmarkEnd w:id="12"/>
          </w:p>
          <w:p w14:paraId="469F3FCA" w14:textId="77777777" w:rsidR="005D12A6" w:rsidRPr="003C1D97" w:rsidRDefault="005D12A6" w:rsidP="005D12A6">
            <w:pPr>
              <w:spacing w:line="360" w:lineRule="auto"/>
              <w:rPr>
                <w:rFonts w:ascii="宋体" w:hAnsi="宋体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7.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3C1D97">
              <w:rPr>
                <w:rFonts w:ascii="宋体" w:hAnsi="宋体"/>
                <w:sz w:val="24"/>
              </w:rPr>
              <w:t xml:space="preserve"> 长期提供商用密码合</w:t>
            </w:r>
            <w:proofErr w:type="gramStart"/>
            <w:r w:rsidRPr="003C1D97">
              <w:rPr>
                <w:rFonts w:ascii="宋体" w:hAnsi="宋体"/>
                <w:sz w:val="24"/>
              </w:rPr>
              <w:t>规</w:t>
            </w:r>
            <w:proofErr w:type="gramEnd"/>
            <w:r w:rsidRPr="003C1D97">
              <w:rPr>
                <w:rFonts w:ascii="宋体" w:hAnsi="宋体"/>
                <w:sz w:val="24"/>
              </w:rPr>
              <w:t>政策、国密应用、密码整改优化技术咨询。</w:t>
            </w:r>
          </w:p>
          <w:p w14:paraId="6D7A2D5B" w14:textId="13F1B29E" w:rsidR="00FC2878" w:rsidRPr="005D12A6" w:rsidRDefault="005D12A6" w:rsidP="00FC2878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C1D97">
              <w:rPr>
                <w:rFonts w:ascii="宋体" w:hAnsi="宋体"/>
                <w:sz w:val="24"/>
              </w:rPr>
              <w:t>7.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3C1D97">
              <w:rPr>
                <w:rFonts w:ascii="宋体" w:hAnsi="宋体"/>
                <w:sz w:val="24"/>
              </w:rPr>
              <w:t xml:space="preserve"> 全程配合采购人完成监管部门检查答疑、资料补充、备案协助等相关工作。</w:t>
            </w:r>
            <w:bookmarkStart w:id="13" w:name="_GoBack"/>
            <w:bookmarkEnd w:id="3"/>
            <w:bookmarkEnd w:id="4"/>
            <w:bookmarkEnd w:id="13"/>
          </w:p>
          <w:p w14:paraId="6F4AABC7" w14:textId="58D138BA" w:rsidR="00FC2878" w:rsidRPr="00FC2878" w:rsidRDefault="00FC2878" w:rsidP="00FC287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FC2878">
              <w:rPr>
                <w:rFonts w:ascii="宋体" w:hAnsi="宋体" w:hint="eastAsia"/>
                <w:b/>
                <w:sz w:val="24"/>
              </w:rPr>
              <w:t>四、供应商资质</w:t>
            </w:r>
          </w:p>
          <w:p w14:paraId="1EACF3D2" w14:textId="77777777" w:rsidR="00FC2878" w:rsidRPr="00FC2878" w:rsidRDefault="00FC2878" w:rsidP="00FC2878">
            <w:pPr>
              <w:spacing w:line="360" w:lineRule="auto"/>
              <w:rPr>
                <w:rFonts w:ascii="宋体" w:hAnsi="宋体"/>
                <w:sz w:val="24"/>
              </w:rPr>
            </w:pPr>
            <w:r w:rsidRPr="00FC2878">
              <w:rPr>
                <w:rFonts w:ascii="宋体" w:hAnsi="宋体" w:hint="eastAsia"/>
                <w:sz w:val="24"/>
              </w:rPr>
              <w:t>（一）具有独立承担民事责任的能力(提供“统一社会信用代码营业执照”复印件)；</w:t>
            </w:r>
          </w:p>
          <w:p w14:paraId="6C1282F2" w14:textId="77777777" w:rsidR="00FC2878" w:rsidRPr="00FC2878" w:rsidRDefault="00FC2878" w:rsidP="00FC2878">
            <w:pPr>
              <w:spacing w:line="360" w:lineRule="auto"/>
              <w:rPr>
                <w:rFonts w:ascii="宋体" w:hAnsi="宋体"/>
                <w:sz w:val="24"/>
              </w:rPr>
            </w:pPr>
            <w:r w:rsidRPr="00FC2878">
              <w:rPr>
                <w:rFonts w:ascii="宋体" w:hAnsi="宋体" w:hint="eastAsia"/>
                <w:sz w:val="24"/>
              </w:rPr>
              <w:t>（二）具有良好的商业信誉和健全的财务会计制度（提供近三年来任</w:t>
            </w:r>
            <w:proofErr w:type="gramStart"/>
            <w:r w:rsidRPr="00FC2878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FC2878">
              <w:rPr>
                <w:rFonts w:ascii="宋体" w:hAnsi="宋体" w:hint="eastAsia"/>
                <w:sz w:val="24"/>
              </w:rPr>
              <w:t>年度经审计的完整有效的财务报告复印件或内部的财务报表复印件；也可提供</w:t>
            </w:r>
            <w:proofErr w:type="gramStart"/>
            <w:r w:rsidRPr="00FC2878">
              <w:rPr>
                <w:rFonts w:ascii="宋体" w:hAnsi="宋体" w:hint="eastAsia"/>
                <w:sz w:val="24"/>
              </w:rPr>
              <w:t>距文件</w:t>
            </w:r>
            <w:proofErr w:type="gramEnd"/>
            <w:r w:rsidRPr="00FC2878">
              <w:rPr>
                <w:rFonts w:ascii="宋体" w:hAnsi="宋体" w:hint="eastAsia"/>
                <w:sz w:val="24"/>
              </w:rPr>
              <w:t>递交截止日一年内银行出具的资信证明）。</w:t>
            </w:r>
          </w:p>
          <w:p w14:paraId="1D367EF1" w14:textId="77777777" w:rsidR="00FC2878" w:rsidRPr="00FC2878" w:rsidRDefault="00FC2878" w:rsidP="00FC2878">
            <w:pPr>
              <w:spacing w:line="360" w:lineRule="auto"/>
              <w:rPr>
                <w:rFonts w:ascii="宋体" w:hAnsi="宋体"/>
                <w:sz w:val="24"/>
              </w:rPr>
            </w:pPr>
            <w:r w:rsidRPr="00FC2878">
              <w:rPr>
                <w:rFonts w:ascii="宋体" w:hAnsi="宋体" w:hint="eastAsia"/>
                <w:sz w:val="24"/>
              </w:rPr>
              <w:t>（三）具有履行合同所必需的设备和专业技术能力（需提供承诺函）；</w:t>
            </w:r>
          </w:p>
          <w:p w14:paraId="4EB0B54C" w14:textId="77777777" w:rsidR="00FC2878" w:rsidRPr="00FC2878" w:rsidRDefault="00FC2878" w:rsidP="00FC2878">
            <w:pPr>
              <w:spacing w:line="360" w:lineRule="auto"/>
              <w:rPr>
                <w:rFonts w:ascii="宋体" w:hAnsi="宋体"/>
                <w:sz w:val="24"/>
              </w:rPr>
            </w:pPr>
            <w:r w:rsidRPr="00FC2878">
              <w:rPr>
                <w:rFonts w:ascii="宋体" w:hAnsi="宋体" w:hint="eastAsia"/>
                <w:sz w:val="24"/>
              </w:rPr>
              <w:t>（四）有依法缴纳税收和社会保障资金的良好记录（需提供近半年内任意一个月的完税证明和缴纳</w:t>
            </w:r>
            <w:proofErr w:type="gramStart"/>
            <w:r w:rsidRPr="00FC2878">
              <w:rPr>
                <w:rFonts w:ascii="宋体" w:hAnsi="宋体" w:hint="eastAsia"/>
                <w:sz w:val="24"/>
              </w:rPr>
              <w:t>社保证明</w:t>
            </w:r>
            <w:proofErr w:type="gramEnd"/>
            <w:r w:rsidRPr="00FC2878">
              <w:rPr>
                <w:rFonts w:ascii="宋体" w:hAnsi="宋体" w:hint="eastAsia"/>
                <w:sz w:val="24"/>
              </w:rPr>
              <w:t>的复印件）；</w:t>
            </w:r>
          </w:p>
          <w:p w14:paraId="6C2804F7" w14:textId="77777777" w:rsidR="00FC2878" w:rsidRPr="00FC2878" w:rsidRDefault="00FC2878" w:rsidP="00FC2878">
            <w:pPr>
              <w:spacing w:line="360" w:lineRule="auto"/>
              <w:rPr>
                <w:rFonts w:ascii="宋体" w:hAnsi="宋体"/>
                <w:sz w:val="24"/>
              </w:rPr>
            </w:pPr>
            <w:r w:rsidRPr="00FC2878">
              <w:rPr>
                <w:rFonts w:ascii="宋体" w:hAnsi="宋体" w:hint="eastAsia"/>
                <w:sz w:val="24"/>
              </w:rPr>
              <w:t>（五）参加本次比选活动前三年内，在经营活动中没有重大违法记录（需提供信用报告）；</w:t>
            </w:r>
          </w:p>
          <w:p w14:paraId="0C6D416B" w14:textId="56536832" w:rsidR="00D800A8" w:rsidRDefault="00FC2878" w:rsidP="00FC2878">
            <w:pPr>
              <w:spacing w:line="360" w:lineRule="auto"/>
              <w:rPr>
                <w:rFonts w:ascii="宋体" w:hAnsi="宋体"/>
                <w:sz w:val="24"/>
              </w:rPr>
            </w:pPr>
            <w:r w:rsidRPr="00FC2878">
              <w:rPr>
                <w:rFonts w:ascii="宋体" w:hAnsi="宋体" w:hint="eastAsia"/>
                <w:sz w:val="24"/>
              </w:rPr>
              <w:t>（六）法律、行政法规规定的其他条件。</w:t>
            </w:r>
          </w:p>
        </w:tc>
      </w:tr>
      <w:tr w:rsidR="00D800A8" w14:paraId="08D562CE" w14:textId="77777777" w:rsidTr="008C7D08">
        <w:trPr>
          <w:trHeight w:val="3251"/>
        </w:trPr>
        <w:tc>
          <w:tcPr>
            <w:tcW w:w="1560" w:type="dxa"/>
          </w:tcPr>
          <w:p w14:paraId="24E67E19" w14:textId="77777777" w:rsidR="00D800A8" w:rsidRDefault="00D800A8" w:rsidP="008C7D08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8647" w:type="dxa"/>
            <w:vMerge/>
          </w:tcPr>
          <w:p w14:paraId="3980449F" w14:textId="77777777" w:rsidR="00D800A8" w:rsidRDefault="00D800A8" w:rsidP="008C7D08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</w:p>
        </w:tc>
      </w:tr>
    </w:tbl>
    <w:p w14:paraId="78142A5D" w14:textId="2BF60770" w:rsidR="00431E73" w:rsidRPr="00D800A8" w:rsidRDefault="00431E73" w:rsidP="00D800A8"/>
    <w:sectPr w:rsidR="00431E73" w:rsidRPr="00D8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">
    <w:altName w:val="仿宋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FF6B60"/>
    <w:multiLevelType w:val="multilevel"/>
    <w:tmpl w:val="95FF6B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9FFF0669"/>
    <w:multiLevelType w:val="singleLevel"/>
    <w:tmpl w:val="9FFF0669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CA4B4566"/>
    <w:multiLevelType w:val="multilevel"/>
    <w:tmpl w:val="CA4B456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DC01D235"/>
    <w:multiLevelType w:val="singleLevel"/>
    <w:tmpl w:val="DC01D23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E5BC99E3"/>
    <w:multiLevelType w:val="multilevel"/>
    <w:tmpl w:val="E5BC99E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color w:val="auto"/>
      </w:rPr>
    </w:lvl>
  </w:abstractNum>
  <w:abstractNum w:abstractNumId="7" w15:restartNumberingAfterBreak="0">
    <w:nsid w:val="00000005"/>
    <w:multiLevelType w:val="multilevel"/>
    <w:tmpl w:val="0000000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宋体" w:hint="eastAsia"/>
        <w:sz w:val="32"/>
      </w:rPr>
    </w:lvl>
    <w:lvl w:ilvl="1">
      <w:start w:val="1"/>
      <w:numFmt w:val="chineseCounting"/>
      <w:pStyle w:val="2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ascii="Times New Roman" w:eastAsia="楷体_GB2312" w:hAnsi="Times New Roman" w:cs="宋体" w:hint="eastAsia"/>
        <w:b/>
        <w:sz w:val="32"/>
      </w:rPr>
    </w:lvl>
    <w:lvl w:ilvl="2">
      <w:start w:val="1"/>
      <w:numFmt w:val="decimal"/>
      <w:pStyle w:val="3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ascii="Times New Roman" w:eastAsia="仿宋_GB2312" w:hAnsi="Times New Roman" w:cs="宋体" w:hint="eastAsia"/>
        <w:b/>
        <w:sz w:val="32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ascii="Times New Roman" w:eastAsia="仿宋_GB2312" w:hAnsi="Times New Roman" w:cs="宋体" w:hint="eastAsia"/>
        <w:sz w:val="32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8" w15:restartNumberingAfterBreak="0">
    <w:nsid w:val="00000006"/>
    <w:multiLevelType w:val="singleLevel"/>
    <w:tmpl w:val="0000000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00000007"/>
    <w:multiLevelType w:val="singleLevel"/>
    <w:tmpl w:val="0000000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10" w15:restartNumberingAfterBreak="0">
    <w:nsid w:val="00000009"/>
    <w:multiLevelType w:val="singleLevel"/>
    <w:tmpl w:val="0000000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22AEBF9C"/>
    <w:multiLevelType w:val="singleLevel"/>
    <w:tmpl w:val="22AEBF9C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46A114D9"/>
    <w:multiLevelType w:val="singleLevel"/>
    <w:tmpl w:val="46A114D9"/>
    <w:lvl w:ilvl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3" w15:restartNumberingAfterBreak="0">
    <w:nsid w:val="7D654983"/>
    <w:multiLevelType w:val="singleLevel"/>
    <w:tmpl w:val="7D654983"/>
    <w:lvl w:ilvl="0">
      <w:start w:val="1"/>
      <w:numFmt w:val="decimal"/>
      <w:lvlText w:val="%1."/>
      <w:lvlJc w:val="left"/>
      <w:pPr>
        <w:tabs>
          <w:tab w:val="left" w:pos="312"/>
        </w:tabs>
        <w:ind w:left="602" w:firstLine="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11"/>
  </w:num>
  <w:num w:numId="9">
    <w:abstractNumId w:val="1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73"/>
    <w:rsid w:val="00431E73"/>
    <w:rsid w:val="004B6FFB"/>
    <w:rsid w:val="005D12A6"/>
    <w:rsid w:val="0092461D"/>
    <w:rsid w:val="00D800A8"/>
    <w:rsid w:val="00FC2878"/>
    <w:rsid w:val="01E32D2E"/>
    <w:rsid w:val="03927990"/>
    <w:rsid w:val="056511C3"/>
    <w:rsid w:val="05FD666C"/>
    <w:rsid w:val="07590FBF"/>
    <w:rsid w:val="08762705"/>
    <w:rsid w:val="09622C8A"/>
    <w:rsid w:val="0B4F024F"/>
    <w:rsid w:val="0B625DB4"/>
    <w:rsid w:val="0BCA3494"/>
    <w:rsid w:val="0D7714E9"/>
    <w:rsid w:val="0E6F0323"/>
    <w:rsid w:val="0F122CCC"/>
    <w:rsid w:val="0F3B0205"/>
    <w:rsid w:val="0FED644C"/>
    <w:rsid w:val="10914580"/>
    <w:rsid w:val="12F26E2C"/>
    <w:rsid w:val="14DE58BA"/>
    <w:rsid w:val="151C7F6C"/>
    <w:rsid w:val="15D72331"/>
    <w:rsid w:val="16836C69"/>
    <w:rsid w:val="16F75359"/>
    <w:rsid w:val="17283764"/>
    <w:rsid w:val="17FB49D5"/>
    <w:rsid w:val="188B3FAB"/>
    <w:rsid w:val="18B2778A"/>
    <w:rsid w:val="196D1903"/>
    <w:rsid w:val="19766A09"/>
    <w:rsid w:val="1ABF39A0"/>
    <w:rsid w:val="1AF35A11"/>
    <w:rsid w:val="1B9A5ADF"/>
    <w:rsid w:val="1CF85639"/>
    <w:rsid w:val="20315492"/>
    <w:rsid w:val="21B06830"/>
    <w:rsid w:val="2233121D"/>
    <w:rsid w:val="227B5090"/>
    <w:rsid w:val="23D42CAA"/>
    <w:rsid w:val="24F71C15"/>
    <w:rsid w:val="27814EF7"/>
    <w:rsid w:val="280414D2"/>
    <w:rsid w:val="28133675"/>
    <w:rsid w:val="285F2D5E"/>
    <w:rsid w:val="28D7226D"/>
    <w:rsid w:val="2967011C"/>
    <w:rsid w:val="297B5976"/>
    <w:rsid w:val="2AC1385C"/>
    <w:rsid w:val="2CF11DB0"/>
    <w:rsid w:val="2D170796"/>
    <w:rsid w:val="2DAC4350"/>
    <w:rsid w:val="2E46260F"/>
    <w:rsid w:val="2EC806F1"/>
    <w:rsid w:val="2ED578D6"/>
    <w:rsid w:val="2EF57F78"/>
    <w:rsid w:val="2FDA78F1"/>
    <w:rsid w:val="308C2216"/>
    <w:rsid w:val="32036508"/>
    <w:rsid w:val="326C7146"/>
    <w:rsid w:val="32E15165"/>
    <w:rsid w:val="330E33B7"/>
    <w:rsid w:val="3491604D"/>
    <w:rsid w:val="34FF745B"/>
    <w:rsid w:val="37F25055"/>
    <w:rsid w:val="3C430575"/>
    <w:rsid w:val="3E18333B"/>
    <w:rsid w:val="41173D7E"/>
    <w:rsid w:val="42F75C15"/>
    <w:rsid w:val="431D6A6A"/>
    <w:rsid w:val="45790B64"/>
    <w:rsid w:val="4622744D"/>
    <w:rsid w:val="466060F2"/>
    <w:rsid w:val="46EB783F"/>
    <w:rsid w:val="477E06B3"/>
    <w:rsid w:val="482079BC"/>
    <w:rsid w:val="4C150036"/>
    <w:rsid w:val="4D203FBB"/>
    <w:rsid w:val="4D5325E2"/>
    <w:rsid w:val="4D5D520F"/>
    <w:rsid w:val="4E6323B1"/>
    <w:rsid w:val="4FEE18E2"/>
    <w:rsid w:val="50534099"/>
    <w:rsid w:val="517174DB"/>
    <w:rsid w:val="52952D55"/>
    <w:rsid w:val="532760A3"/>
    <w:rsid w:val="54D2203E"/>
    <w:rsid w:val="55450A62"/>
    <w:rsid w:val="56064695"/>
    <w:rsid w:val="5664375F"/>
    <w:rsid w:val="56892BD1"/>
    <w:rsid w:val="56CC00BF"/>
    <w:rsid w:val="58490869"/>
    <w:rsid w:val="5A2E0068"/>
    <w:rsid w:val="5B206173"/>
    <w:rsid w:val="5BFB1E7B"/>
    <w:rsid w:val="5D3E5D08"/>
    <w:rsid w:val="5F7F372B"/>
    <w:rsid w:val="60C413D5"/>
    <w:rsid w:val="61356498"/>
    <w:rsid w:val="630006BE"/>
    <w:rsid w:val="643A375C"/>
    <w:rsid w:val="66234704"/>
    <w:rsid w:val="672030DD"/>
    <w:rsid w:val="67CE48E7"/>
    <w:rsid w:val="67E4235D"/>
    <w:rsid w:val="68594AF9"/>
    <w:rsid w:val="68F6059A"/>
    <w:rsid w:val="69BA3375"/>
    <w:rsid w:val="6B1B42E7"/>
    <w:rsid w:val="6B572E46"/>
    <w:rsid w:val="6C44786E"/>
    <w:rsid w:val="6CCB5899"/>
    <w:rsid w:val="6F563B40"/>
    <w:rsid w:val="70B34FC2"/>
    <w:rsid w:val="724265FE"/>
    <w:rsid w:val="727D7636"/>
    <w:rsid w:val="73EF4563"/>
    <w:rsid w:val="75815F43"/>
    <w:rsid w:val="76472434"/>
    <w:rsid w:val="76B6461C"/>
    <w:rsid w:val="76CA0970"/>
    <w:rsid w:val="76EC6B38"/>
    <w:rsid w:val="78C14018"/>
    <w:rsid w:val="78DF3D5E"/>
    <w:rsid w:val="799C2A97"/>
    <w:rsid w:val="79BA116F"/>
    <w:rsid w:val="7ACD6C80"/>
    <w:rsid w:val="7AE30252"/>
    <w:rsid w:val="7D184638"/>
    <w:rsid w:val="7E6D055E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EFE95"/>
  <w15:docId w15:val="{1739971A-E492-405A-B9E5-0AB164B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99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spacing w:before="340" w:after="330" w:line="360" w:lineRule="auto"/>
      <w:jc w:val="both"/>
      <w:outlineLvl w:val="0"/>
    </w:pPr>
    <w:rPr>
      <w:rFonts w:eastAsia="黑体" w:cs="宋体"/>
      <w:kern w:val="44"/>
      <w:sz w:val="32"/>
    </w:rPr>
  </w:style>
  <w:style w:type="paragraph" w:styleId="2">
    <w:name w:val="heading 2"/>
    <w:next w:val="a"/>
    <w:link w:val="20"/>
    <w:qFormat/>
    <w:pPr>
      <w:numPr>
        <w:ilvl w:val="1"/>
        <w:numId w:val="1"/>
      </w:numPr>
      <w:spacing w:before="260" w:after="260" w:line="413" w:lineRule="auto"/>
      <w:outlineLvl w:val="1"/>
    </w:pPr>
    <w:rPr>
      <w:rFonts w:eastAsia="楷体_GB2312" w:cs="宋体"/>
      <w:b/>
      <w:sz w:val="32"/>
    </w:rPr>
  </w:style>
  <w:style w:type="paragraph" w:styleId="3">
    <w:name w:val="heading 3"/>
    <w:next w:val="a"/>
    <w:link w:val="30"/>
    <w:qFormat/>
    <w:pPr>
      <w:widowControl w:val="0"/>
      <w:numPr>
        <w:ilvl w:val="2"/>
        <w:numId w:val="1"/>
      </w:numPr>
      <w:spacing w:before="260" w:after="260" w:line="413" w:lineRule="auto"/>
      <w:outlineLvl w:val="2"/>
    </w:pPr>
    <w:rPr>
      <w:rFonts w:eastAsia="仿宋_GB2312" w:cs="宋体"/>
      <w:b/>
      <w:sz w:val="32"/>
    </w:rPr>
  </w:style>
  <w:style w:type="paragraph" w:styleId="4">
    <w:name w:val="heading 4"/>
    <w:basedOn w:val="a"/>
    <w:next w:val="a"/>
    <w:link w:val="40"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方正仿宋" w:hAnsi="Times New Roman" w:cs="Times New Roman"/>
      <w:sz w:val="32"/>
    </w:rPr>
  </w:style>
  <w:style w:type="paragraph" w:styleId="a5">
    <w:name w:val="Body Text"/>
    <w:basedOn w:val="a"/>
    <w:uiPriority w:val="99"/>
    <w:qFormat/>
    <w:rPr>
      <w:rFonts w:ascii="宋体"/>
      <w:color w:val="000000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Body Text First Indent"/>
    <w:basedOn w:val="a5"/>
    <w:link w:val="aa"/>
    <w:uiPriority w:val="99"/>
    <w:qFormat/>
    <w:pPr>
      <w:tabs>
        <w:tab w:val="left" w:pos="0"/>
      </w:tabs>
      <w:ind w:firstLineChars="100" w:firstLine="420"/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paragraph" w:customStyle="1" w:styleId="022">
    <w:name w:val="02、首行缩进2字符正文"/>
    <w:basedOn w:val="a"/>
    <w:qFormat/>
    <w:pPr>
      <w:tabs>
        <w:tab w:val="left" w:pos="0"/>
      </w:tabs>
      <w:wordWrap w:val="0"/>
      <w:topLinePunct/>
      <w:ind w:firstLineChars="200" w:firstLine="480"/>
    </w:pPr>
  </w:style>
  <w:style w:type="paragraph" w:customStyle="1" w:styleId="032">
    <w:name w:val="03、“注：”正文(加粗，首行缩进2字符)"/>
    <w:basedOn w:val="01"/>
    <w:qFormat/>
    <w:pPr>
      <w:ind w:firstLineChars="200" w:firstLine="480"/>
    </w:pPr>
    <w:rPr>
      <w:b/>
    </w:rPr>
  </w:style>
  <w:style w:type="paragraph" w:customStyle="1" w:styleId="01">
    <w:name w:val="01、普通正文"/>
    <w:basedOn w:val="a"/>
    <w:qFormat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UserStyle0">
    <w:name w:val="UserStyle_0"/>
    <w:basedOn w:val="a"/>
    <w:qFormat/>
    <w:pPr>
      <w:snapToGrid w:val="0"/>
      <w:spacing w:before="100" w:beforeAutospacing="1" w:after="100" w:afterAutospacing="1" w:line="440" w:lineRule="exact"/>
    </w:pPr>
    <w:rPr>
      <w:rFonts w:ascii="Times New Roman" w:hAnsi="Times New Roman" w:cs="Times New Roman"/>
      <w:bCs/>
      <w:color w:val="000000"/>
    </w:rPr>
  </w:style>
  <w:style w:type="character" w:customStyle="1" w:styleId="a7">
    <w:name w:val="批注框文本 字符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eastAsia="方正仿宋"/>
      <w:kern w:val="2"/>
      <w:sz w:val="32"/>
      <w:szCs w:val="24"/>
    </w:rPr>
  </w:style>
  <w:style w:type="paragraph" w:customStyle="1" w:styleId="Style4">
    <w:name w:val="_Style 4"/>
    <w:basedOn w:val="a"/>
    <w:qFormat/>
    <w:rPr>
      <w:rFonts w:ascii="Times New Roman" w:eastAsia="方正仿宋" w:hAnsi="Times New Roman" w:cs="Times New Roman"/>
      <w:sz w:val="32"/>
      <w:szCs w:val="32"/>
    </w:rPr>
  </w:style>
  <w:style w:type="character" w:customStyle="1" w:styleId="10">
    <w:name w:val="标题 1 字符"/>
    <w:basedOn w:val="a0"/>
    <w:link w:val="1"/>
    <w:qFormat/>
    <w:rPr>
      <w:rFonts w:eastAsia="黑体" w:cs="宋体"/>
      <w:kern w:val="44"/>
      <w:sz w:val="32"/>
    </w:rPr>
  </w:style>
  <w:style w:type="character" w:customStyle="1" w:styleId="20">
    <w:name w:val="标题 2 字符"/>
    <w:basedOn w:val="a0"/>
    <w:link w:val="2"/>
    <w:qFormat/>
    <w:rPr>
      <w:rFonts w:eastAsia="楷体_GB2312" w:cs="宋体"/>
      <w:b/>
      <w:sz w:val="32"/>
    </w:rPr>
  </w:style>
  <w:style w:type="character" w:customStyle="1" w:styleId="30">
    <w:name w:val="标题 3 字符"/>
    <w:basedOn w:val="a0"/>
    <w:link w:val="3"/>
    <w:qFormat/>
    <w:rPr>
      <w:rFonts w:eastAsia="仿宋_GB2312" w:cs="宋体"/>
      <w:b/>
      <w:sz w:val="3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null3">
    <w:name w:val="null3"/>
    <w:qFormat/>
    <w:rPr>
      <w:rFonts w:ascii="Calibri" w:hAnsi="Calibri" w:cs="宋体" w:hint="eastAsia"/>
    </w:rPr>
  </w:style>
  <w:style w:type="character" w:customStyle="1" w:styleId="40">
    <w:name w:val="标题 4 字符"/>
    <w:basedOn w:val="a0"/>
    <w:link w:val="4"/>
    <w:rsid w:val="00D800A8"/>
    <w:rPr>
      <w:rFonts w:ascii="宋体" w:hAnsi="宋体" w:cs="宋体"/>
      <w:b/>
      <w:bCs/>
      <w:sz w:val="24"/>
      <w:szCs w:val="24"/>
    </w:rPr>
  </w:style>
  <w:style w:type="character" w:customStyle="1" w:styleId="aa">
    <w:name w:val="正文首行缩进 字符"/>
    <w:basedOn w:val="a0"/>
    <w:link w:val="a9"/>
    <w:uiPriority w:val="99"/>
    <w:rsid w:val="00D800A8"/>
    <w:rPr>
      <w:rFonts w:ascii="宋体" w:hAnsi="Calibri" w:cs="宋体"/>
      <w:color w:val="000000"/>
      <w:kern w:val="2"/>
      <w:sz w:val="21"/>
      <w:szCs w:val="24"/>
    </w:rPr>
  </w:style>
  <w:style w:type="character" w:customStyle="1" w:styleId="15">
    <w:name w:val="15"/>
    <w:basedOn w:val="a0"/>
    <w:rsid w:val="00D800A8"/>
    <w:rPr>
      <w:rFonts w:ascii="Times New Roman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5879-D5B5-4C90-A547-3D9DB59A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john</cp:lastModifiedBy>
  <cp:revision>141</cp:revision>
  <cp:lastPrinted>2026-06-11T01:17:00Z</cp:lastPrinted>
  <dcterms:created xsi:type="dcterms:W3CDTF">2025-08-11T06:46:00Z</dcterms:created>
  <dcterms:modified xsi:type="dcterms:W3CDTF">2026-07-13T07:21:00Z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eyJoZGlkIjoiMjEwZmZkN2MwNjg5OTFhYTY2ODc4OThmYTFlMjQwZjYiLCJ1c2VySWQiOiI3MTIzMTg4NzAifQ==</vt:lpwstr>
  </property>
  <property fmtid="{D5CDD505-2E9C-101B-9397-08002B2CF9AE}" pid="4" name="ICV">
    <vt:lpwstr>8764df462caa4e3b8cadfb321efb3cee_23</vt:lpwstr>
  </property>
</Properties>
</file>