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F02F1">
      <w:pPr>
        <w:pStyle w:val="6"/>
        <w:numPr>
          <w:ilvl w:val="0"/>
          <w:numId w:val="0"/>
        </w:numPr>
        <w:spacing w:before="120" w:after="120"/>
        <w:ind w:left="0" w:leftChars="0" w:firstLine="0" w:firstLineChars="0"/>
        <w:jc w:val="both"/>
        <w:rPr>
          <w:rFonts w:hint="eastAsia" w:ascii="宋体" w:hAnsi="宋体" w:eastAsia="宋体" w:cs="宋体"/>
          <w:b/>
          <w:snapToGrid w:val="0"/>
          <w:color w:val="auto"/>
          <w:kern w:val="2"/>
          <w:sz w:val="28"/>
          <w:szCs w:val="28"/>
          <w:lang w:val="en-US" w:eastAsia="zh-CN" w:bidi="ar-SA"/>
        </w:rPr>
      </w:pPr>
      <w:bookmarkStart w:id="0" w:name="_Toc3633"/>
      <w:bookmarkStart w:id="1" w:name="_Toc21195"/>
      <w:r>
        <w:rPr>
          <w:rFonts w:hint="eastAsia" w:cs="宋体"/>
          <w:b w:val="0"/>
          <w:bCs/>
          <w:snapToGrid w:val="0"/>
          <w:color w:val="auto"/>
          <w:kern w:val="2"/>
          <w:sz w:val="28"/>
          <w:szCs w:val="28"/>
          <w:lang w:val="en-US" w:eastAsia="zh-CN" w:bidi="ar-SA"/>
        </w:rPr>
        <w:t>附件1</w:t>
      </w:r>
      <w:r>
        <w:rPr>
          <w:rFonts w:hint="eastAsia" w:ascii="宋体" w:hAnsi="宋体" w:eastAsia="宋体" w:cs="宋体"/>
          <w:b/>
          <w:snapToGrid w:val="0"/>
          <w:color w:val="auto"/>
          <w:kern w:val="2"/>
          <w:sz w:val="28"/>
          <w:szCs w:val="28"/>
          <w:lang w:val="en-US" w:eastAsia="zh-CN" w:bidi="ar-SA"/>
        </w:rPr>
        <w:t xml:space="preserve"> </w:t>
      </w:r>
    </w:p>
    <w:bookmarkEnd w:id="0"/>
    <w:bookmarkEnd w:id="1"/>
    <w:p w14:paraId="48912095">
      <w:pPr>
        <w:pStyle w:val="6"/>
        <w:numPr>
          <w:ilvl w:val="0"/>
          <w:numId w:val="0"/>
        </w:numPr>
        <w:spacing w:before="120" w:after="120"/>
        <w:ind w:left="0" w:leftChars="0" w:firstLine="0" w:firstLineChars="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武侯祠锦里10、0.4千伏电力增容改造及智能电表</w:t>
      </w:r>
    </w:p>
    <w:p w14:paraId="7334A7CD">
      <w:pPr>
        <w:pStyle w:val="6"/>
        <w:numPr>
          <w:ilvl w:val="0"/>
          <w:numId w:val="0"/>
        </w:numPr>
        <w:spacing w:before="120" w:after="120"/>
        <w:ind w:left="0" w:leftChars="0" w:firstLine="0" w:firstLineChars="0"/>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入户项目监理服务</w:t>
      </w:r>
      <w:r>
        <w:rPr>
          <w:rFonts w:hint="eastAsia" w:cs="宋体"/>
          <w:color w:val="auto"/>
          <w:sz w:val="36"/>
          <w:szCs w:val="36"/>
          <w:highlight w:val="none"/>
          <w:lang w:val="en-US" w:eastAsia="zh-CN"/>
        </w:rPr>
        <w:t>采购需求</w:t>
      </w:r>
    </w:p>
    <w:p w14:paraId="69C5A06E">
      <w:pPr>
        <w:pStyle w:val="8"/>
        <w:tabs>
          <w:tab w:val="left" w:pos="1134"/>
          <w:tab w:val="clear" w:pos="0"/>
        </w:tabs>
        <w:spacing w:line="560" w:lineRule="exact"/>
        <w:ind w:left="567"/>
        <w:outlineLvl w:val="2"/>
        <w:rPr>
          <w:rFonts w:hint="eastAsia" w:ascii="宋体" w:hAnsi="宋体" w:eastAsia="宋体" w:cs="宋体"/>
          <w:b/>
          <w:color w:val="auto"/>
          <w:sz w:val="24"/>
          <w:szCs w:val="24"/>
          <w:highlight w:val="none"/>
          <w:lang w:eastAsia="zh-CN"/>
        </w:rPr>
      </w:pPr>
      <w:bookmarkStart w:id="2" w:name="_Toc11002"/>
    </w:p>
    <w:p w14:paraId="3C69F38D">
      <w:pPr>
        <w:pStyle w:val="8"/>
        <w:tabs>
          <w:tab w:val="left" w:pos="1134"/>
          <w:tab w:val="clear" w:pos="0"/>
        </w:tabs>
        <w:spacing w:line="560" w:lineRule="exact"/>
        <w:ind w:left="567"/>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eastAsia="zh-CN"/>
        </w:rPr>
        <w:t>项目概况</w:t>
      </w:r>
      <w:bookmarkEnd w:id="2"/>
    </w:p>
    <w:p w14:paraId="5CCA76DB">
      <w:pPr>
        <w:pStyle w:val="9"/>
        <w:numPr>
          <w:ilvl w:val="1"/>
          <w:numId w:val="2"/>
        </w:numPr>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项目地址：成都武侯祠博物馆。</w:t>
      </w:r>
    </w:p>
    <w:p w14:paraId="14144458">
      <w:pPr>
        <w:pStyle w:val="9"/>
        <w:numPr>
          <w:ilvl w:val="1"/>
          <w:numId w:val="2"/>
        </w:numPr>
        <w:ind w:firstLine="480"/>
        <w:rPr>
          <w:rFonts w:hint="eastAsia" w:ascii="宋体" w:hAnsi="宋体" w:eastAsia="宋体" w:cs="宋体"/>
          <w:color w:val="auto"/>
          <w:highlight w:val="none"/>
          <w:lang w:val="en-US" w:eastAsia="zh-CN"/>
        </w:rPr>
      </w:pPr>
      <w:r>
        <w:rPr>
          <w:rFonts w:hint="eastAsia" w:cs="宋体"/>
          <w:color w:val="auto"/>
          <w:highlight w:val="none"/>
          <w:lang w:val="en-US" w:eastAsia="zh-CN"/>
        </w:rPr>
        <w:t>工程</w:t>
      </w:r>
      <w:r>
        <w:rPr>
          <w:rFonts w:hint="eastAsia" w:ascii="宋体" w:hAnsi="宋体" w:eastAsia="宋体" w:cs="宋体"/>
          <w:color w:val="auto"/>
          <w:highlight w:val="none"/>
          <w:lang w:eastAsia="zh-CN"/>
        </w:rPr>
        <w:t>内容：在锦里新建1台800kVA箱式变电站，在3号配电房更换1台800kVA箱式变电站，配置3台10kV高压柜，同步敷设10kV及0.4kV电力电缆合计约1250米，配置电缆分支箱11台，更换及新增智能电表156只、集中器2套，搭建预付费管理系统1套。项目</w:t>
      </w:r>
      <w:r>
        <w:rPr>
          <w:rFonts w:hint="eastAsia" w:cs="宋体"/>
          <w:color w:val="auto"/>
          <w:highlight w:val="none"/>
          <w:lang w:val="en-US" w:eastAsia="zh-CN"/>
        </w:rPr>
        <w:t>预算316.48</w:t>
      </w:r>
      <w:r>
        <w:rPr>
          <w:rFonts w:hint="eastAsia" w:ascii="宋体" w:hAnsi="宋体" w:eastAsia="宋体" w:cs="宋体"/>
          <w:color w:val="auto"/>
          <w:highlight w:val="none"/>
          <w:lang w:val="en-US" w:eastAsia="zh-CN"/>
        </w:rPr>
        <w:t>万元。</w:t>
      </w:r>
    </w:p>
    <w:p w14:paraId="7EF27016">
      <w:pPr>
        <w:pStyle w:val="9"/>
        <w:numPr>
          <w:ilvl w:val="1"/>
          <w:numId w:val="2"/>
        </w:numPr>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监理内容：主要对工程项目质量、进度、安全、造价进行全过程管控，负责原材料进场验收、工序及工程检查验收、关键工序旁站巡视，审核施工方案与变更签证，督查现场安全文明施工，协调建设、施工、设计各方关系，同步整理工程资料、把控工期与投资，确保工程按规范、图纸及合同要求合规施工交付</w:t>
      </w:r>
      <w:r>
        <w:rPr>
          <w:rFonts w:hint="eastAsia" w:ascii="宋体" w:hAnsi="宋体" w:eastAsia="宋体" w:cs="宋体"/>
          <w:color w:val="auto"/>
          <w:highlight w:val="none"/>
          <w:lang w:eastAsia="zh-CN"/>
        </w:rPr>
        <w:t>。</w:t>
      </w:r>
    </w:p>
    <w:p w14:paraId="5B68FDC5">
      <w:pPr>
        <w:pStyle w:val="8"/>
        <w:tabs>
          <w:tab w:val="left" w:pos="1134"/>
          <w:tab w:val="clear" w:pos="0"/>
        </w:tabs>
        <w:spacing w:line="560" w:lineRule="exact"/>
        <w:ind w:left="567"/>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二、采购标的汇总表</w:t>
      </w:r>
    </w:p>
    <w:tbl>
      <w:tblPr>
        <w:tblStyle w:val="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4544"/>
        <w:gridCol w:w="1023"/>
        <w:gridCol w:w="806"/>
        <w:gridCol w:w="1380"/>
      </w:tblGrid>
      <w:tr w14:paraId="0428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5" w:type="pct"/>
            <w:noWrap w:val="0"/>
            <w:vAlign w:val="center"/>
          </w:tcPr>
          <w:p w14:paraId="3EA74A9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序号</w:t>
            </w:r>
          </w:p>
        </w:tc>
        <w:tc>
          <w:tcPr>
            <w:tcW w:w="2669" w:type="pct"/>
            <w:noWrap w:val="0"/>
            <w:vAlign w:val="center"/>
          </w:tcPr>
          <w:p w14:paraId="201F349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标的名称</w:t>
            </w:r>
          </w:p>
        </w:tc>
        <w:tc>
          <w:tcPr>
            <w:tcW w:w="600" w:type="pct"/>
            <w:noWrap w:val="0"/>
            <w:vAlign w:val="center"/>
          </w:tcPr>
          <w:p w14:paraId="79E5494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计量单位</w:t>
            </w:r>
          </w:p>
        </w:tc>
        <w:tc>
          <w:tcPr>
            <w:tcW w:w="473" w:type="pct"/>
            <w:noWrap w:val="0"/>
            <w:vAlign w:val="center"/>
          </w:tcPr>
          <w:p w14:paraId="7A95772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数量</w:t>
            </w:r>
          </w:p>
        </w:tc>
        <w:tc>
          <w:tcPr>
            <w:tcW w:w="810" w:type="pct"/>
            <w:noWrap w:val="0"/>
            <w:vAlign w:val="center"/>
          </w:tcPr>
          <w:p w14:paraId="6C6B9CF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是否进口</w:t>
            </w:r>
          </w:p>
        </w:tc>
      </w:tr>
      <w:tr w14:paraId="4492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45" w:type="pct"/>
            <w:noWrap w:val="0"/>
            <w:vAlign w:val="center"/>
          </w:tcPr>
          <w:p w14:paraId="412EE5A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2669" w:type="pct"/>
            <w:noWrap w:val="0"/>
            <w:vAlign w:val="center"/>
          </w:tcPr>
          <w:p w14:paraId="681D161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武侯祠锦里10、0.4千伏电力增容改造及智能电表入户</w:t>
            </w:r>
            <w:r>
              <w:rPr>
                <w:rFonts w:hint="eastAsia"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lang w:val="en-US" w:eastAsia="zh-CN"/>
              </w:rPr>
              <w:t>监理服务</w:t>
            </w:r>
          </w:p>
        </w:tc>
        <w:tc>
          <w:tcPr>
            <w:tcW w:w="600" w:type="pct"/>
            <w:noWrap w:val="0"/>
            <w:vAlign w:val="center"/>
          </w:tcPr>
          <w:p w14:paraId="70C16D7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w:t>
            </w:r>
          </w:p>
        </w:tc>
        <w:tc>
          <w:tcPr>
            <w:tcW w:w="473" w:type="pct"/>
            <w:noWrap w:val="0"/>
            <w:vAlign w:val="center"/>
          </w:tcPr>
          <w:p w14:paraId="0F7783D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810" w:type="pct"/>
            <w:noWrap w:val="0"/>
            <w:vAlign w:val="center"/>
          </w:tcPr>
          <w:p w14:paraId="27BCB41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否</w:t>
            </w:r>
          </w:p>
        </w:tc>
      </w:tr>
    </w:tbl>
    <w:p w14:paraId="50782835">
      <w:pPr>
        <w:pStyle w:val="8"/>
        <w:tabs>
          <w:tab w:val="left" w:pos="1134"/>
          <w:tab w:val="clear" w:pos="0"/>
        </w:tabs>
        <w:spacing w:line="560" w:lineRule="exact"/>
        <w:ind w:left="567"/>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、服务内容及要求</w:t>
      </w:r>
      <w:r>
        <w:rPr>
          <w:rFonts w:hint="eastAsia" w:ascii="宋体" w:hAnsi="宋体" w:cs="宋体"/>
          <w:b/>
          <w:color w:val="auto"/>
          <w:sz w:val="24"/>
          <w:szCs w:val="24"/>
          <w:highlight w:val="none"/>
          <w:lang w:val="en-US" w:eastAsia="zh-CN"/>
        </w:rPr>
        <w:t>（实质性要求）</w:t>
      </w:r>
    </w:p>
    <w:p w14:paraId="5FCB0ED9">
      <w:pPr>
        <w:pStyle w:val="9"/>
        <w:numPr>
          <w:ilvl w:val="1"/>
          <w:numId w:val="3"/>
        </w:numPr>
        <w:ind w:firstLine="480"/>
        <w:outlineLvl w:val="3"/>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总体要求</w:t>
      </w:r>
    </w:p>
    <w:p w14:paraId="493A1E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本项目工程施工阶段全过程、全方位监理服务，涵盖施工准备阶段、施工阶段、竣工验收阶段、缺陷责任期（保修期）全过程监理，对工程质量、进度、投资、安全文明施工、合同、信息、协调实施全面管控。</w:t>
      </w:r>
    </w:p>
    <w:p w14:paraId="77C7B167">
      <w:pPr>
        <w:pStyle w:val="9"/>
        <w:numPr>
          <w:ilvl w:val="1"/>
          <w:numId w:val="3"/>
        </w:numPr>
        <w:ind w:firstLine="480"/>
        <w:outlineLvl w:val="3"/>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本工程采用的技术规范</w:t>
      </w:r>
    </w:p>
    <w:p w14:paraId="32AEC8D8">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遵守设计图纸明确的技术规范；</w:t>
      </w:r>
    </w:p>
    <w:p w14:paraId="188DBB7B">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执行国家、四川省、市现行的施工、质量检测及验收规范；</w:t>
      </w:r>
    </w:p>
    <w:p w14:paraId="2935F280">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依照设计文件的要求，本项目的施工、材料、设备须达到《建设工程监理规范》（GB/T 50319-2013）</w:t>
      </w:r>
      <w:r>
        <w:rPr>
          <w:rFonts w:hint="eastAsia" w:cs="宋体"/>
          <w:b w:val="0"/>
          <w:bCs/>
          <w:sz w:val="24"/>
          <w:highlight w:val="none"/>
          <w:lang w:val="en-US" w:eastAsia="zh-CN"/>
        </w:rPr>
        <w:t>、</w:t>
      </w:r>
      <w:r>
        <w:rPr>
          <w:rFonts w:hint="eastAsia" w:ascii="宋体" w:hAnsi="宋体" w:eastAsia="宋体" w:cs="宋体"/>
          <w:b w:val="0"/>
          <w:bCs/>
          <w:sz w:val="24"/>
          <w:highlight w:val="none"/>
          <w:lang w:val="en-US" w:eastAsia="zh-CN"/>
        </w:rPr>
        <w:t>《电力建设工程监理规范》（DL/T 5434-2021）</w:t>
      </w:r>
      <w:r>
        <w:rPr>
          <w:rFonts w:hint="eastAsia" w:cs="宋体"/>
          <w:b w:val="0"/>
          <w:bCs/>
          <w:sz w:val="24"/>
          <w:highlight w:val="none"/>
          <w:lang w:val="en-US" w:eastAsia="zh-CN"/>
        </w:rPr>
        <w:t>、</w:t>
      </w:r>
      <w:r>
        <w:rPr>
          <w:rFonts w:hint="eastAsia" w:ascii="宋体" w:hAnsi="宋体" w:eastAsia="宋体" w:cs="宋体"/>
          <w:b w:val="0"/>
          <w:bCs/>
          <w:sz w:val="24"/>
          <w:highlight w:val="none"/>
          <w:lang w:val="en-US" w:eastAsia="zh-CN"/>
        </w:rPr>
        <w:t>《建筑电气工程施工质量验收规范》（GB 50303-2015）</w:t>
      </w:r>
      <w:r>
        <w:rPr>
          <w:rFonts w:hint="eastAsia" w:cs="宋体"/>
          <w:b w:val="0"/>
          <w:bCs/>
          <w:sz w:val="24"/>
          <w:highlight w:val="none"/>
          <w:lang w:val="en-US" w:eastAsia="zh-CN"/>
        </w:rPr>
        <w:t>、</w:t>
      </w:r>
      <w:r>
        <w:rPr>
          <w:rFonts w:hint="eastAsia" w:ascii="宋体" w:hAnsi="宋体" w:eastAsia="宋体" w:cs="宋体"/>
          <w:b w:val="0"/>
          <w:bCs/>
          <w:sz w:val="24"/>
          <w:highlight w:val="none"/>
          <w:lang w:val="en-US" w:eastAsia="zh-CN"/>
        </w:rPr>
        <w:t>成都市经济和信息化局等5部门关于印发《成都市电力用户受电设施建设运维安全技术及管理导则（2025年修订版）》的通知（成经信规〔2025〕9 号）等现行中华人民共和国及省、自治区、直辖市或行业的现行工程建设标准和规范的要求。</w:t>
      </w:r>
    </w:p>
    <w:p w14:paraId="3890F7F0">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bCs w:val="0"/>
          <w:sz w:val="24"/>
          <w:highlight w:val="none"/>
          <w:lang w:val="en-US" w:eastAsia="zh-CN"/>
        </w:rPr>
      </w:pPr>
      <w:r>
        <w:rPr>
          <w:rFonts w:hint="eastAsia" w:ascii="宋体" w:hAnsi="宋体" w:eastAsia="宋体" w:cs="宋体"/>
          <w:b w:val="0"/>
          <w:bCs/>
          <w:sz w:val="24"/>
          <w:highlight w:val="none"/>
          <w:lang w:val="en-US" w:eastAsia="zh-CN"/>
        </w:rPr>
        <w:t>安全文明施工：安全防护至少分两方面进行，一方面为“如何避免工程施工对社会造成的安全隐患”，第二方面为“如何避免工程施工对现场内工程人员造成的安全隐患，坚持“安全第一，预防为主”的生产方针；文明施工则应包括现场文明施工、减少</w:t>
      </w:r>
      <w:r>
        <w:rPr>
          <w:rFonts w:hint="eastAsia" w:cs="宋体"/>
          <w:b w:val="0"/>
          <w:bCs/>
          <w:sz w:val="24"/>
          <w:highlight w:val="none"/>
          <w:lang w:val="en-US" w:eastAsia="zh-CN"/>
        </w:rPr>
        <w:t>噪声污染</w:t>
      </w:r>
      <w:r>
        <w:rPr>
          <w:rFonts w:hint="eastAsia" w:ascii="宋体" w:hAnsi="宋体" w:eastAsia="宋体" w:cs="宋体"/>
          <w:b w:val="0"/>
          <w:bCs/>
          <w:sz w:val="24"/>
          <w:highlight w:val="none"/>
          <w:lang w:val="en-US" w:eastAsia="zh-CN"/>
        </w:rPr>
        <w:t>、防止施工扰民、现场消防保卫、周边关系协调等等；除此之外，还应考虑施工现场环保措施。</w:t>
      </w:r>
    </w:p>
    <w:p w14:paraId="7CC0F8ED">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环境保护管理体系与措施：施工现场的环境与卫生管理依据现行法律法规实行。</w:t>
      </w:r>
    </w:p>
    <w:p w14:paraId="16C7BD59">
      <w:pPr>
        <w:pStyle w:val="9"/>
        <w:numPr>
          <w:ilvl w:val="1"/>
          <w:numId w:val="3"/>
        </w:numPr>
        <w:ind w:firstLine="480"/>
        <w:outlineLvl w:val="3"/>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主要监理服务内容</w:t>
      </w:r>
    </w:p>
    <w:p w14:paraId="02CA2D50">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监理范围含武侯祠锦里10、0.4千伏电力增容改造及智能电表入户项目设计图纸及工程量清单所示全部内容。工程量清单的工作内容为主要工作内容（但不仅限于此），其完整的工作内容应按照设计图纸、现行的相关施工工艺、技术规范标准、施工质量验收规范标准等要求实施完成该项工程并达到设计使用要求的所有内容。</w:t>
      </w:r>
    </w:p>
    <w:p w14:paraId="48673010">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监理单位应及时编制监理规划或计划，熟悉有关合同，了解施工现场情况，主要内容如下：</w:t>
      </w:r>
    </w:p>
    <w:p w14:paraId="2F17EF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（1）依据施工承包合同及施工进度计划，审核施工单位提交的施工组织设计；</w:t>
      </w:r>
    </w:p>
    <w:p w14:paraId="37B316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（2）审批施工单位拟用于本工程的原始材料以及工艺试验、标准试验</w:t>
      </w:r>
      <w:r>
        <w:rPr>
          <w:rFonts w:hint="eastAsia" w:cs="宋体"/>
          <w:b w:val="0"/>
          <w:bCs/>
          <w:sz w:val="24"/>
          <w:highlight w:val="none"/>
          <w:lang w:val="en-US" w:eastAsia="zh-CN"/>
        </w:rPr>
        <w:t>；</w:t>
      </w:r>
    </w:p>
    <w:p w14:paraId="3FA234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（3）审查承包人拟用于本工程的机械装备的性能与数量；</w:t>
      </w:r>
    </w:p>
    <w:p w14:paraId="492F2E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（4）审查分包合同和分包人</w:t>
      </w:r>
      <w:r>
        <w:rPr>
          <w:rFonts w:hint="eastAsia" w:cs="宋体"/>
          <w:b w:val="0"/>
          <w:bCs/>
          <w:sz w:val="24"/>
          <w:highlight w:val="none"/>
          <w:lang w:val="en-US" w:eastAsia="zh-CN"/>
        </w:rPr>
        <w:t>（</w:t>
      </w:r>
      <w:r>
        <w:rPr>
          <w:rFonts w:hint="eastAsia" w:ascii="宋体" w:hAnsi="宋体" w:eastAsia="宋体" w:cs="宋体"/>
          <w:b w:val="0"/>
          <w:bCs/>
          <w:sz w:val="24"/>
          <w:highlight w:val="none"/>
          <w:lang w:val="en-US" w:eastAsia="zh-CN"/>
        </w:rPr>
        <w:t>如果有</w:t>
      </w:r>
      <w:r>
        <w:rPr>
          <w:rFonts w:hint="eastAsia" w:cs="宋体"/>
          <w:b w:val="0"/>
          <w:bCs/>
          <w:sz w:val="24"/>
          <w:highlight w:val="none"/>
          <w:lang w:val="en-US" w:eastAsia="zh-CN"/>
        </w:rPr>
        <w:t>）</w:t>
      </w:r>
      <w:r>
        <w:rPr>
          <w:rFonts w:hint="eastAsia" w:ascii="宋体" w:hAnsi="宋体" w:eastAsia="宋体" w:cs="宋体"/>
          <w:b w:val="0"/>
          <w:bCs/>
          <w:sz w:val="24"/>
          <w:highlight w:val="none"/>
          <w:lang w:val="en-US" w:eastAsia="zh-CN"/>
        </w:rPr>
        <w:t>的资质，控制重要外购成品件或半成品件的质量；</w:t>
      </w:r>
    </w:p>
    <w:p w14:paraId="1B2684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（5）负责工程施工过程中质量控制、进度控制、投资控制、安全监管，组织工程开工审批、竣工验收、资料收集等工作；</w:t>
      </w:r>
    </w:p>
    <w:p w14:paraId="426127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6）供应商在监理服务的工程项目开工前5个工作日内安排拟派本项目总监理工程师及专业监理人员进场，实行工程全过程监理。督促施工单位按施工合同约定的时间、进度组织施工，及时调整不合理工期安排，依据相关规程、规范及技术标准和项目合同，监督并检查施工单位工程项目实施的质量、进度等，督促施工单位整改、整理、编制、提供工程项目的中间资料和最终成果。</w:t>
      </w:r>
    </w:p>
    <w:p w14:paraId="3ED60D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（7）合同管理</w:t>
      </w:r>
    </w:p>
    <w:p w14:paraId="2A566D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①管理工程合同文件，处理合同争议、工程变更、索赔事宜。</w:t>
      </w:r>
    </w:p>
    <w:p w14:paraId="7691D2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②整理监理日志、旁站记录、监理通知单、会议纪要、监理月报等全套资料，做到同步归档、真实完整。</w:t>
      </w:r>
    </w:p>
    <w:p w14:paraId="787363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③协调建设单位、施工单位、设计单位、勘察单位及相关主管部门现场关系，化解施工矛盾。</w:t>
      </w:r>
    </w:p>
    <w:p w14:paraId="0270D5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（8）</w:t>
      </w:r>
      <w:r>
        <w:rPr>
          <w:rFonts w:hint="eastAsia" w:cs="宋体"/>
          <w:b w:val="0"/>
          <w:bCs/>
          <w:sz w:val="24"/>
          <w:highlight w:val="none"/>
          <w:lang w:val="en-US" w:eastAsia="zh-CN"/>
        </w:rPr>
        <w:t>其他</w:t>
      </w:r>
      <w:r>
        <w:rPr>
          <w:rFonts w:hint="eastAsia" w:ascii="宋体" w:hAnsi="宋体" w:eastAsia="宋体" w:cs="宋体"/>
          <w:b w:val="0"/>
          <w:bCs/>
          <w:sz w:val="24"/>
          <w:highlight w:val="none"/>
          <w:lang w:val="en-US" w:eastAsia="zh-CN"/>
        </w:rPr>
        <w:t>相关业务。</w:t>
      </w:r>
    </w:p>
    <w:p w14:paraId="785E722B">
      <w:pPr>
        <w:pStyle w:val="9"/>
        <w:numPr>
          <w:ilvl w:val="1"/>
          <w:numId w:val="3"/>
        </w:numPr>
        <w:ind w:firstLine="480"/>
        <w:outlineLvl w:val="3"/>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监理服务要求</w:t>
      </w:r>
    </w:p>
    <w:p w14:paraId="163FF7FA">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供应商应自行做好监理任务的调查和踏勘以及其他包含在本次监理任务之中的工作。</w:t>
      </w:r>
    </w:p>
    <w:p w14:paraId="65407E9C">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供应商严格按照建设工程监理规范规定、规范监理，应按事前、事中和事后</w:t>
      </w:r>
      <w:r>
        <w:rPr>
          <w:rFonts w:hint="eastAsia" w:cs="宋体"/>
          <w:b w:val="0"/>
          <w:bCs/>
          <w:sz w:val="24"/>
          <w:highlight w:val="none"/>
          <w:lang w:val="en-US" w:eastAsia="zh-CN"/>
        </w:rPr>
        <w:t>三个</w:t>
      </w:r>
      <w:r>
        <w:rPr>
          <w:rFonts w:hint="eastAsia" w:ascii="宋体" w:hAnsi="宋体" w:eastAsia="宋体" w:cs="宋体"/>
          <w:b w:val="0"/>
          <w:bCs/>
          <w:sz w:val="24"/>
          <w:highlight w:val="none"/>
          <w:lang w:val="en-US" w:eastAsia="zh-CN"/>
        </w:rPr>
        <w:t>阶段开展监理工作，针对质量控制、投资控制、进度控制、知识产权控制、信息安全控制、合同管理、文档管理和协调工作等方面提出详细监理规划并提出监理人员配备方案。</w:t>
      </w:r>
    </w:p>
    <w:p w14:paraId="054406C6">
      <w:pPr>
        <w:pStyle w:val="9"/>
        <w:numPr>
          <w:ilvl w:val="1"/>
          <w:numId w:val="3"/>
        </w:numPr>
        <w:ind w:firstLine="480"/>
        <w:outlineLvl w:val="3"/>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施工现场建设工程安全生产监理责任</w:t>
      </w:r>
    </w:p>
    <w:p w14:paraId="5124341D">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建设工程安全监理的主要工作内容监理单位应当按照</w:t>
      </w:r>
      <w:r>
        <w:rPr>
          <w:rFonts w:hint="eastAsia" w:cs="宋体"/>
          <w:b w:val="0"/>
          <w:bCs/>
          <w:sz w:val="24"/>
          <w:highlight w:val="none"/>
          <w:lang w:val="en-US" w:eastAsia="zh-CN"/>
        </w:rPr>
        <w:t>法律法规</w:t>
      </w:r>
      <w:r>
        <w:rPr>
          <w:rFonts w:hint="eastAsia" w:ascii="宋体" w:hAnsi="宋体" w:eastAsia="宋体" w:cs="宋体"/>
          <w:b w:val="0"/>
          <w:bCs/>
          <w:sz w:val="24"/>
          <w:highlight w:val="none"/>
          <w:lang w:val="en-US" w:eastAsia="zh-CN"/>
        </w:rPr>
        <w:t>和工程建设强制性标准及监理委托合同实施监理，对所监理工程的施工安全生产进行监督检查，</w:t>
      </w:r>
      <w:r>
        <w:rPr>
          <w:rFonts w:hint="eastAsia" w:cs="宋体"/>
          <w:b w:val="0"/>
          <w:bCs/>
          <w:sz w:val="24"/>
          <w:highlight w:val="none"/>
          <w:lang w:val="en-US" w:eastAsia="zh-CN"/>
        </w:rPr>
        <w:t>应当</w:t>
      </w:r>
      <w:r>
        <w:rPr>
          <w:rFonts w:hint="eastAsia" w:ascii="宋体" w:hAnsi="宋体" w:eastAsia="宋体" w:cs="宋体"/>
          <w:b w:val="0"/>
          <w:bCs/>
          <w:sz w:val="24"/>
          <w:highlight w:val="none"/>
          <w:lang w:val="en-US" w:eastAsia="zh-CN"/>
        </w:rPr>
        <w:t>根据《条例》的规定，按照工程建设强制性标准、《建设工程监理规范》（GB/T 50319-2013）、《电力建设工程监理规范》（DL/T 5434-2021）</w:t>
      </w:r>
      <w:r>
        <w:rPr>
          <w:rFonts w:hint="eastAsia" w:cs="宋体"/>
          <w:b w:val="0"/>
          <w:bCs/>
          <w:sz w:val="24"/>
          <w:highlight w:val="none"/>
          <w:lang w:val="en-US" w:eastAsia="zh-CN"/>
        </w:rPr>
        <w:t>、</w:t>
      </w:r>
      <w:r>
        <w:rPr>
          <w:rFonts w:hint="eastAsia" w:ascii="宋体" w:hAnsi="宋体" w:eastAsia="宋体" w:cs="宋体"/>
          <w:b w:val="0"/>
          <w:bCs/>
          <w:sz w:val="24"/>
          <w:highlight w:val="none"/>
          <w:lang w:val="en-US" w:eastAsia="zh-CN"/>
        </w:rPr>
        <w:t>四川省住房和城乡建设厅印发《关于促进工程监理依法履职推动监理行业高质量发展的若干措施》的通知（川建行规〔2023〕2号）、《四川省建设工程项目监理工作质量检查标准》（DBJ51/T060-2016）和相关行业监理规范的要求，编制包括安全监理内容的项目监理规划，明确安全监理的范围、内容、工作程序和制度措施，以及人员配备计划和职责等。</w:t>
      </w:r>
    </w:p>
    <w:p w14:paraId="4F278B7D">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监理单位应当编制监理实施细则。实施细则应当明确安全监理的方法、措施和控制要点，以及对施工单位安全技术措施的检查方案。</w:t>
      </w:r>
    </w:p>
    <w:p w14:paraId="235612AB">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审查施工单位编制的施工组织设计中的安全技术措施和危险性较大的分部分项工程安全专项施工方案是否符合工程建设强制性标准要求。</w:t>
      </w:r>
    </w:p>
    <w:p w14:paraId="4361EE0F">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检查施工单位在工程项目上的安全生产规章制度和安全监管机构的建立、健全及专职安全生产管理人员配备情况，督促施工单位检查各分包单位的安全生产规章制度的建立情况。</w:t>
      </w:r>
    </w:p>
    <w:p w14:paraId="3FBF4CB0">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审查施工单位资质和安全生产许可证是否合法有效。</w:t>
      </w:r>
    </w:p>
    <w:p w14:paraId="12F32F25">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审查项目经理和专职安全生产管理人员是否具备合法资格，是否与其</w:t>
      </w:r>
      <w:r>
        <w:rPr>
          <w:rFonts w:hint="eastAsia" w:cs="宋体"/>
          <w:b w:val="0"/>
          <w:bCs/>
          <w:sz w:val="24"/>
          <w:highlight w:val="none"/>
          <w:lang w:val="en-US" w:eastAsia="zh-CN"/>
        </w:rPr>
        <w:t>比选</w:t>
      </w:r>
      <w:r>
        <w:rPr>
          <w:rFonts w:hint="eastAsia" w:ascii="宋体" w:hAnsi="宋体" w:eastAsia="宋体" w:cs="宋体"/>
          <w:b w:val="0"/>
          <w:bCs/>
          <w:sz w:val="24"/>
          <w:highlight w:val="none"/>
          <w:lang w:val="en-US" w:eastAsia="zh-CN"/>
        </w:rPr>
        <w:t>申请文件相一致。</w:t>
      </w:r>
    </w:p>
    <w:p w14:paraId="432BF363">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审核特种作业人员的特种作业操作资格证书是否合法有效。</w:t>
      </w:r>
    </w:p>
    <w:p w14:paraId="19EF29B6">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审核施工单位应急救援预案和安全防护措施费用使用计划。</w:t>
      </w:r>
    </w:p>
    <w:p w14:paraId="2FEADC01">
      <w:pPr>
        <w:pStyle w:val="8"/>
        <w:numPr>
          <w:ilvl w:val="0"/>
          <w:numId w:val="8"/>
        </w:numPr>
        <w:tabs>
          <w:tab w:val="left" w:pos="1134"/>
          <w:tab w:val="clear" w:pos="0"/>
        </w:tabs>
        <w:spacing w:line="560" w:lineRule="exact"/>
        <w:ind w:left="567"/>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商务要求</w:t>
      </w:r>
      <w:r>
        <w:rPr>
          <w:rFonts w:hint="eastAsia" w:ascii="宋体" w:hAnsi="宋体" w:cs="宋体"/>
          <w:b/>
          <w:color w:val="auto"/>
          <w:sz w:val="24"/>
          <w:szCs w:val="24"/>
          <w:highlight w:val="none"/>
          <w:lang w:val="en-US" w:eastAsia="zh-CN"/>
        </w:rPr>
        <w:t>（实质性要求）</w:t>
      </w:r>
    </w:p>
    <w:p w14:paraId="483EC9A4">
      <w:pPr>
        <w:ind w:firstLine="482" w:firstLineChars="200"/>
        <w:rPr>
          <w:rFonts w:hint="eastAsia"/>
          <w:b/>
          <w:bCs/>
          <w:lang w:val="en-US" w:eastAsia="zh-CN"/>
        </w:rPr>
      </w:pPr>
      <w:r>
        <w:rPr>
          <w:rFonts w:hint="eastAsia"/>
          <w:b/>
          <w:bCs/>
          <w:lang w:val="en-US" w:eastAsia="zh-CN"/>
        </w:rPr>
        <w:t>（一）监理单位资质要求</w:t>
      </w:r>
    </w:p>
    <w:p w14:paraId="09703B0E">
      <w:pPr>
        <w:ind w:firstLine="480" w:firstLineChars="200"/>
        <w:rPr>
          <w:rFonts w:hint="eastAsia"/>
          <w:lang w:val="en-US" w:eastAsia="zh-CN"/>
        </w:rPr>
      </w:pPr>
      <w:r>
        <w:rPr>
          <w:rFonts w:hint="eastAsia"/>
          <w:lang w:val="en-US" w:eastAsia="zh-CN"/>
        </w:rPr>
        <w:t>1. 具备独立法人资格，持有合法有效的营业执照。</w:t>
      </w:r>
    </w:p>
    <w:p w14:paraId="284F599C">
      <w:pPr>
        <w:ind w:firstLine="480" w:firstLineChars="200"/>
        <w:rPr>
          <w:rFonts w:hint="eastAsia"/>
          <w:lang w:val="en-US" w:eastAsia="zh-CN"/>
        </w:rPr>
      </w:pPr>
      <w:r>
        <w:rPr>
          <w:rFonts w:hint="eastAsia"/>
          <w:lang w:val="en-US" w:eastAsia="zh-CN"/>
        </w:rPr>
        <w:t>2. 具备监理综合或电力工程监理乙级及以上资质。</w:t>
      </w:r>
    </w:p>
    <w:p w14:paraId="5989F67B">
      <w:pPr>
        <w:ind w:firstLine="482" w:firstLineChars="200"/>
        <w:rPr>
          <w:rFonts w:hint="eastAsia"/>
          <w:b/>
          <w:bCs/>
          <w:lang w:val="en-US" w:eastAsia="zh-CN"/>
        </w:rPr>
      </w:pPr>
      <w:r>
        <w:rPr>
          <w:rFonts w:hint="eastAsia"/>
          <w:b/>
          <w:bCs/>
          <w:lang w:val="en-US" w:eastAsia="zh-CN"/>
        </w:rPr>
        <w:t>（二）监理人员配置要求</w:t>
      </w:r>
    </w:p>
    <w:p w14:paraId="4190E99B">
      <w:pPr>
        <w:ind w:firstLine="480" w:firstLineChars="200"/>
        <w:rPr>
          <w:rFonts w:hint="eastAsia"/>
          <w:b w:val="0"/>
          <w:bCs w:val="0"/>
          <w:lang w:val="en-US" w:eastAsia="zh-CN"/>
        </w:rPr>
      </w:pPr>
      <w:r>
        <w:rPr>
          <w:rFonts w:hint="eastAsia"/>
          <w:lang w:val="en-US" w:eastAsia="zh-CN"/>
        </w:rPr>
        <w:t>1. 项目总监理工程师1名，须持有电力工程专业注册</w:t>
      </w:r>
      <w:r>
        <w:rPr>
          <w:rFonts w:hint="eastAsia"/>
          <w:b w:val="0"/>
          <w:bCs w:val="0"/>
          <w:lang w:val="en-US" w:eastAsia="zh-CN"/>
        </w:rPr>
        <w:t>监理工程师证书，具有同类工程监理经验。</w:t>
      </w:r>
    </w:p>
    <w:p w14:paraId="2BA5BCC2">
      <w:pPr>
        <w:ind w:firstLine="480" w:firstLineChars="200"/>
        <w:rPr>
          <w:rFonts w:hint="eastAsia"/>
          <w:b w:val="0"/>
          <w:bCs w:val="0"/>
          <w:lang w:val="en-US" w:eastAsia="zh-CN"/>
        </w:rPr>
      </w:pPr>
      <w:r>
        <w:rPr>
          <w:rFonts w:hint="eastAsia"/>
          <w:b w:val="0"/>
          <w:bCs w:val="0"/>
          <w:lang w:val="en-US" w:eastAsia="zh-CN"/>
        </w:rPr>
        <w:t>2. 专业监理工程师至少1名，须持有电力工程专业注册监理工程师证书，可兼任安全监理职责。</w:t>
      </w:r>
    </w:p>
    <w:p w14:paraId="5670B29C">
      <w:pPr>
        <w:ind w:firstLine="480" w:firstLineChars="200"/>
        <w:rPr>
          <w:rFonts w:hint="eastAsia"/>
          <w:lang w:val="en-US" w:eastAsia="zh-CN"/>
        </w:rPr>
      </w:pPr>
      <w:r>
        <w:rPr>
          <w:rFonts w:hint="eastAsia"/>
          <w:lang w:val="en-US" w:eastAsia="zh-CN"/>
        </w:rPr>
        <w:t>3. 监理员若干，根据工程进度合理配置。</w:t>
      </w:r>
    </w:p>
    <w:p w14:paraId="7595BD30">
      <w:pPr>
        <w:ind w:firstLine="480" w:firstLineChars="200"/>
        <w:rPr>
          <w:rFonts w:hint="eastAsia"/>
          <w:lang w:val="en-US" w:eastAsia="zh-CN"/>
        </w:rPr>
      </w:pPr>
      <w:r>
        <w:rPr>
          <w:rFonts w:hint="eastAsia"/>
          <w:lang w:val="en-US" w:eastAsia="zh-CN"/>
        </w:rPr>
        <w:t>4. 以上人员须为本单位正式员工，提供</w:t>
      </w:r>
      <w:r>
        <w:rPr>
          <w:rFonts w:hint="eastAsia"/>
          <w:b/>
          <w:bCs/>
          <w:lang w:val="en-US" w:eastAsia="zh-CN"/>
        </w:rPr>
        <w:t>社保证明</w:t>
      </w:r>
      <w:r>
        <w:rPr>
          <w:rFonts w:hint="eastAsia"/>
          <w:lang w:val="en-US" w:eastAsia="zh-CN"/>
        </w:rPr>
        <w:t>。</w:t>
      </w:r>
    </w:p>
    <w:p w14:paraId="2AA379C7">
      <w:pPr>
        <w:ind w:firstLine="480" w:firstLineChars="200"/>
        <w:rPr>
          <w:rFonts w:hint="eastAsia"/>
          <w:lang w:val="en-US" w:eastAsia="zh-CN"/>
        </w:rPr>
      </w:pPr>
      <w:r>
        <w:rPr>
          <w:rFonts w:hint="eastAsia"/>
          <w:lang w:val="en-US" w:eastAsia="zh-CN"/>
        </w:rPr>
        <w:t>5. 团队人员一经确定原则上不得随意更改，确需变更的须经采购人同意。</w:t>
      </w:r>
    </w:p>
    <w:p w14:paraId="2C56225E">
      <w:pPr>
        <w:ind w:firstLine="482" w:firstLineChars="200"/>
        <w:rPr>
          <w:rFonts w:hint="default"/>
          <w:b/>
          <w:bCs/>
          <w:lang w:val="en-US" w:eastAsia="zh-CN"/>
        </w:rPr>
      </w:pPr>
      <w:r>
        <w:rPr>
          <w:rFonts w:hint="eastAsia"/>
          <w:b/>
          <w:bCs/>
          <w:lang w:val="en-US" w:eastAsia="zh-CN"/>
        </w:rPr>
        <w:t>（三）</w:t>
      </w:r>
      <w:r>
        <w:rPr>
          <w:rFonts w:hint="default"/>
          <w:b/>
          <w:bCs/>
          <w:lang w:val="en-US" w:eastAsia="zh-CN"/>
        </w:rPr>
        <w:t>监理工期</w:t>
      </w:r>
    </w:p>
    <w:p w14:paraId="30D5173A">
      <w:pPr>
        <w:keepNext w:val="0"/>
        <w:keepLines w:val="0"/>
        <w:pageBreakBefore w:val="0"/>
        <w:widowControl w:val="0"/>
        <w:numPr>
          <w:ilvl w:val="0"/>
          <w:numId w:val="9"/>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服务期限：自本项目签订监理服务合同之日起至竣工结算完成审核之日结束。其中，施工服务期限约</w:t>
      </w:r>
      <w:r>
        <w:rPr>
          <w:rFonts w:hint="eastAsia" w:cs="宋体"/>
          <w:b w:val="0"/>
          <w:bCs/>
          <w:sz w:val="24"/>
          <w:highlight w:val="none"/>
          <w:lang w:val="en-US" w:eastAsia="zh-CN"/>
        </w:rPr>
        <w:t>6</w:t>
      </w:r>
      <w:r>
        <w:rPr>
          <w:rFonts w:hint="eastAsia" w:ascii="宋体" w:hAnsi="宋体" w:eastAsia="宋体" w:cs="宋体"/>
          <w:b w:val="0"/>
          <w:bCs/>
          <w:sz w:val="24"/>
          <w:highlight w:val="none"/>
          <w:lang w:val="en-US" w:eastAsia="zh-CN"/>
        </w:rPr>
        <w:t>0日历天，因不可抗力造成的工期延误，监理服务期顺延。</w:t>
      </w:r>
    </w:p>
    <w:p w14:paraId="7F5B952F">
      <w:pPr>
        <w:keepNext w:val="0"/>
        <w:keepLines w:val="0"/>
        <w:pageBreakBefore w:val="0"/>
        <w:widowControl w:val="0"/>
        <w:numPr>
          <w:ilvl w:val="0"/>
          <w:numId w:val="9"/>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服务地点</w:t>
      </w:r>
      <w:r>
        <w:rPr>
          <w:rFonts w:hint="eastAsia" w:cs="宋体"/>
          <w:b w:val="0"/>
          <w:bCs/>
          <w:sz w:val="24"/>
          <w:highlight w:val="none"/>
          <w:lang w:val="en-US" w:eastAsia="zh-CN"/>
        </w:rPr>
        <w:t>：</w:t>
      </w:r>
      <w:r>
        <w:rPr>
          <w:rFonts w:hint="eastAsia" w:ascii="宋体" w:hAnsi="宋体" w:eastAsia="宋体" w:cs="宋体"/>
          <w:b w:val="0"/>
          <w:bCs/>
          <w:sz w:val="24"/>
          <w:highlight w:val="none"/>
          <w:lang w:val="en-US" w:eastAsia="zh-CN"/>
        </w:rPr>
        <w:t xml:space="preserve"> 成都武侯祠博物馆。</w:t>
      </w:r>
    </w:p>
    <w:p w14:paraId="5B0422C7">
      <w:pPr>
        <w:pStyle w:val="9"/>
        <w:numPr>
          <w:ilvl w:val="1"/>
          <w:numId w:val="0"/>
        </w:numPr>
        <w:ind w:left="0" w:leftChars="0" w:firstLine="482" w:firstLineChars="200"/>
        <w:outlineLvl w:val="3"/>
        <w:rPr>
          <w:rFonts w:hint="eastAsia" w:ascii="宋体" w:hAnsi="宋体" w:eastAsia="宋体" w:cs="宋体"/>
          <w:b/>
          <w:bCs/>
          <w:color w:val="auto"/>
          <w:highlight w:val="none"/>
          <w:lang w:val="en-US" w:eastAsia="zh-CN"/>
        </w:rPr>
      </w:pPr>
      <w:r>
        <w:rPr>
          <w:rFonts w:hint="eastAsia" w:cs="宋体"/>
          <w:b/>
          <w:bCs/>
          <w:color w:val="auto"/>
          <w:kern w:val="2"/>
          <w:sz w:val="24"/>
          <w:szCs w:val="24"/>
          <w:lang w:val="en-US" w:eastAsia="zh-CN" w:bidi="ar-SA"/>
        </w:rPr>
        <w:t>（四）</w:t>
      </w:r>
      <w:r>
        <w:rPr>
          <w:rFonts w:hint="eastAsia" w:ascii="宋体" w:hAnsi="宋体" w:eastAsia="宋体" w:cs="宋体"/>
          <w:b/>
          <w:bCs/>
          <w:color w:val="auto"/>
          <w:highlight w:val="none"/>
          <w:lang w:val="en-US" w:eastAsia="zh-CN"/>
        </w:rPr>
        <w:t xml:space="preserve">付款方法和条件 </w:t>
      </w:r>
    </w:p>
    <w:p w14:paraId="3D726D3F">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预付款</w:t>
      </w:r>
      <w:r>
        <w:rPr>
          <w:rFonts w:hint="eastAsia" w:cs="宋体"/>
          <w:b w:val="0"/>
          <w:bCs/>
          <w:sz w:val="24"/>
          <w:highlight w:val="none"/>
          <w:lang w:val="en-US" w:eastAsia="zh-CN"/>
        </w:rPr>
        <w:t>：</w:t>
      </w:r>
      <w:r>
        <w:rPr>
          <w:rFonts w:hint="eastAsia" w:ascii="宋体" w:hAnsi="宋体" w:eastAsia="宋体" w:cs="宋体"/>
          <w:b w:val="0"/>
          <w:bCs/>
          <w:sz w:val="24"/>
          <w:highlight w:val="none"/>
          <w:lang w:val="en-US" w:eastAsia="zh-CN"/>
        </w:rPr>
        <w:t>签订监理合同后，且采购人收到中选供应商出具合法有效完整的完税发票及凭证资料后，</w:t>
      </w:r>
      <w:r>
        <w:rPr>
          <w:rFonts w:hint="eastAsia" w:cs="宋体"/>
          <w:b w:val="0"/>
          <w:bCs/>
          <w:sz w:val="24"/>
          <w:highlight w:val="none"/>
          <w:lang w:val="en-US" w:eastAsia="zh-CN"/>
        </w:rPr>
        <w:t>10日内</w:t>
      </w:r>
      <w:r>
        <w:rPr>
          <w:rFonts w:hint="eastAsia" w:ascii="宋体" w:hAnsi="宋体" w:eastAsia="宋体" w:cs="宋体"/>
          <w:b w:val="0"/>
          <w:bCs/>
          <w:sz w:val="24"/>
          <w:highlight w:val="none"/>
          <w:lang w:val="en-US" w:eastAsia="zh-CN"/>
        </w:rPr>
        <w:t>支付合同价款的40%作为预付监理费</w:t>
      </w:r>
      <w:r>
        <w:rPr>
          <w:rFonts w:hint="eastAsia" w:cs="宋体"/>
          <w:b w:val="0"/>
          <w:bCs/>
          <w:sz w:val="24"/>
          <w:highlight w:val="none"/>
          <w:lang w:val="en-US" w:eastAsia="zh-CN"/>
        </w:rPr>
        <w:t>。</w:t>
      </w:r>
    </w:p>
    <w:p w14:paraId="472BEF4A">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尾款</w:t>
      </w:r>
      <w:r>
        <w:rPr>
          <w:rFonts w:hint="eastAsia" w:cs="宋体"/>
          <w:b w:val="0"/>
          <w:bCs/>
          <w:sz w:val="24"/>
          <w:highlight w:val="none"/>
          <w:lang w:val="en-US" w:eastAsia="zh-CN"/>
        </w:rPr>
        <w:t>：</w:t>
      </w:r>
      <w:r>
        <w:rPr>
          <w:rFonts w:hint="eastAsia" w:ascii="宋体" w:hAnsi="宋体" w:eastAsia="宋体" w:cs="宋体"/>
          <w:b w:val="0"/>
          <w:bCs/>
          <w:sz w:val="24"/>
          <w:highlight w:val="none"/>
          <w:lang w:val="en-US" w:eastAsia="zh-CN"/>
        </w:rPr>
        <w:t>工程验收合格、全部监理资料归档、竣工审核结算完成后</w:t>
      </w:r>
      <w:r>
        <w:rPr>
          <w:rFonts w:hint="eastAsia" w:cs="宋体"/>
          <w:b w:val="0"/>
          <w:bCs/>
          <w:sz w:val="24"/>
          <w:highlight w:val="none"/>
          <w:lang w:val="en-US" w:eastAsia="zh-CN"/>
        </w:rPr>
        <w:t>30日，</w:t>
      </w:r>
      <w:r>
        <w:rPr>
          <w:rFonts w:hint="eastAsia" w:ascii="宋体" w:hAnsi="宋体" w:eastAsia="宋体" w:cs="宋体"/>
          <w:b w:val="0"/>
          <w:bCs/>
          <w:sz w:val="24"/>
          <w:highlight w:val="none"/>
          <w:lang w:val="en-US" w:eastAsia="zh-CN"/>
        </w:rPr>
        <w:t>根据竣工审核结算的总价（非合同价），且采购人收到中选供应商出具合法有效完整的完税发票及凭证资料后，支付监理合同价款的</w:t>
      </w:r>
      <w:r>
        <w:rPr>
          <w:rFonts w:hint="eastAsia" w:cs="宋体"/>
          <w:b w:val="0"/>
          <w:bCs/>
          <w:sz w:val="24"/>
          <w:highlight w:val="none"/>
          <w:lang w:val="en-US" w:eastAsia="zh-CN"/>
        </w:rPr>
        <w:t>6</w:t>
      </w:r>
      <w:r>
        <w:rPr>
          <w:rFonts w:hint="eastAsia" w:ascii="宋体" w:hAnsi="宋体" w:eastAsia="宋体" w:cs="宋体"/>
          <w:b w:val="0"/>
          <w:bCs/>
          <w:sz w:val="24"/>
          <w:highlight w:val="none"/>
          <w:lang w:val="en-US" w:eastAsia="zh-CN"/>
        </w:rPr>
        <w:t>0%</w:t>
      </w:r>
      <w:r>
        <w:rPr>
          <w:rFonts w:hint="eastAsia" w:cs="宋体"/>
          <w:b w:val="0"/>
          <w:bCs/>
          <w:sz w:val="24"/>
          <w:highlight w:val="none"/>
          <w:lang w:val="en-US" w:eastAsia="zh-CN"/>
        </w:rPr>
        <w:t>。</w:t>
      </w:r>
    </w:p>
    <w:p w14:paraId="7817F0B0">
      <w:pPr>
        <w:tabs>
          <w:tab w:val="left" w:pos="312"/>
          <w:tab w:val="clear" w:pos="0"/>
        </w:tabs>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注</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1</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如供应商未按采购人要求提供或迟延提供发票及相关支付凭证材料，则采购人有权延迟或拒绝支付合同相应款项且不承担任何违约或损失赔偿责任。</w:t>
      </w:r>
    </w:p>
    <w:p w14:paraId="1789E5F4">
      <w:pPr>
        <w:tabs>
          <w:tab w:val="left" w:pos="312"/>
          <w:tab w:val="clear" w:pos="0"/>
        </w:tabs>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eastAsia="zh-CN"/>
        </w:rPr>
        <w:t>（2）</w:t>
      </w:r>
      <w:r>
        <w:rPr>
          <w:rFonts w:hint="eastAsia" w:ascii="宋体" w:hAnsi="宋体" w:eastAsia="宋体" w:cs="宋体"/>
          <w:bCs/>
          <w:sz w:val="24"/>
          <w:highlight w:val="none"/>
        </w:rPr>
        <w:t>供应商变更收款账户的，应当在变更后1个工作日内书面通知采购人，因供应商未及时通知导致的不利后果，由供应商自行承担。在变更通知送达采购人前，采购人按原账户信息进行价款支付的，视为已完成支付义务。</w:t>
      </w:r>
    </w:p>
    <w:p w14:paraId="5B943E67">
      <w:pPr>
        <w:pStyle w:val="9"/>
        <w:numPr>
          <w:ilvl w:val="1"/>
          <w:numId w:val="0"/>
        </w:numPr>
        <w:ind w:left="0" w:leftChars="0" w:firstLine="480" w:firstLineChars="200"/>
        <w:outlineLvl w:val="9"/>
        <w:rPr>
          <w:rFonts w:hint="eastAsia" w:ascii="宋体" w:hAnsi="宋体" w:eastAsia="宋体" w:cs="宋体"/>
          <w:highlight w:val="none"/>
          <w:lang w:eastAsia="zh-CN"/>
        </w:rPr>
      </w:pPr>
      <w:r>
        <w:rPr>
          <w:rFonts w:hint="eastAsia" w:ascii="宋体" w:hAnsi="宋体" w:eastAsia="宋体" w:cs="宋体"/>
          <w:bCs/>
          <w:sz w:val="24"/>
          <w:highlight w:val="none"/>
          <w:lang w:eastAsia="zh-CN"/>
        </w:rPr>
        <w:t>（3）</w:t>
      </w:r>
      <w:r>
        <w:rPr>
          <w:rFonts w:hint="eastAsia" w:ascii="宋体" w:hAnsi="宋体" w:eastAsia="宋体" w:cs="宋体"/>
          <w:bCs/>
          <w:sz w:val="24"/>
          <w:highlight w:val="none"/>
        </w:rPr>
        <w:t>若因财政年终决算关账或财政资金未下达等客观原因导致采购人未按合同约定支付相应款项的，不视为采购人违约，采购人不承担任何违约责任。同时，供应商不得以采购人未支付资金为由拒绝或延迟履行合同义务</w:t>
      </w:r>
      <w:r>
        <w:rPr>
          <w:rFonts w:hint="eastAsia" w:cs="宋体"/>
          <w:bCs/>
          <w:sz w:val="24"/>
          <w:highlight w:val="none"/>
          <w:lang w:eastAsia="zh-CN"/>
        </w:rPr>
        <w:t>。</w:t>
      </w:r>
    </w:p>
    <w:p w14:paraId="2C1587ED">
      <w:pPr>
        <w:pStyle w:val="9"/>
        <w:numPr>
          <w:ilvl w:val="1"/>
          <w:numId w:val="0"/>
        </w:numPr>
        <w:ind w:left="0" w:leftChars="0" w:firstLine="482" w:firstLineChars="200"/>
        <w:outlineLvl w:val="3"/>
        <w:rPr>
          <w:rFonts w:hint="eastAsia" w:ascii="宋体" w:hAnsi="宋体" w:eastAsia="宋体" w:cs="宋体"/>
          <w:b/>
          <w:bCs/>
          <w:color w:val="auto"/>
          <w:highlight w:val="none"/>
          <w:lang w:val="en-US" w:eastAsia="zh-CN"/>
        </w:rPr>
      </w:pPr>
      <w:r>
        <w:rPr>
          <w:rFonts w:hint="eastAsia" w:cs="宋体"/>
          <w:b/>
          <w:bCs/>
          <w:color w:val="auto"/>
          <w:kern w:val="2"/>
          <w:sz w:val="24"/>
          <w:szCs w:val="24"/>
          <w:lang w:val="en-US" w:eastAsia="zh-CN" w:bidi="ar-SA"/>
        </w:rPr>
        <w:t>（五）</w:t>
      </w:r>
      <w:r>
        <w:rPr>
          <w:rFonts w:hint="eastAsia" w:ascii="宋体" w:hAnsi="宋体" w:eastAsia="宋体" w:cs="宋体"/>
          <w:b/>
          <w:bCs/>
          <w:color w:val="auto"/>
          <w:highlight w:val="none"/>
          <w:lang w:val="en-US" w:eastAsia="zh-CN"/>
        </w:rPr>
        <w:t>验收</w:t>
      </w:r>
    </w:p>
    <w:p w14:paraId="36E2E7D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400" w:leftChars="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根据国家相关的施工规范及行业验收规范、标准执行。</w:t>
      </w:r>
    </w:p>
    <w:p w14:paraId="6A252682">
      <w:pPr>
        <w:keepNext w:val="0"/>
        <w:keepLines w:val="0"/>
        <w:pageBreakBefore w:val="0"/>
        <w:numPr>
          <w:ilvl w:val="0"/>
          <w:numId w:val="11"/>
        </w:numPr>
        <w:tabs>
          <w:tab w:val="left" w:pos="312"/>
          <w:tab w:val="clear" w:pos="0"/>
        </w:tabs>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验收时间：在全部</w:t>
      </w:r>
      <w:r>
        <w:rPr>
          <w:rFonts w:hint="eastAsia" w:ascii="宋体" w:hAnsi="宋体" w:eastAsia="宋体" w:cs="宋体"/>
          <w:bCs/>
          <w:sz w:val="24"/>
          <w:highlight w:val="none"/>
          <w:u w:val="none"/>
          <w:lang w:val="en-US" w:eastAsia="zh-CN"/>
        </w:rPr>
        <w:t>监理</w:t>
      </w:r>
      <w:r>
        <w:rPr>
          <w:rFonts w:hint="eastAsia" w:ascii="宋体" w:hAnsi="宋体" w:eastAsia="宋体" w:cs="宋体"/>
          <w:bCs/>
          <w:sz w:val="24"/>
          <w:highlight w:val="none"/>
          <w:u w:val="none"/>
        </w:rPr>
        <w:t>工作结束后，</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提出验收申请后10个工作日内，由</w:t>
      </w: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 xml:space="preserve">自行组织验收小组进行验收。 </w:t>
      </w:r>
    </w:p>
    <w:p w14:paraId="2B28DD31">
      <w:pPr>
        <w:keepNext w:val="0"/>
        <w:keepLines w:val="0"/>
        <w:pageBreakBefore w:val="0"/>
        <w:numPr>
          <w:ilvl w:val="0"/>
          <w:numId w:val="11"/>
        </w:numPr>
        <w:tabs>
          <w:tab w:val="left" w:pos="312"/>
          <w:tab w:val="clear" w:pos="0"/>
        </w:tabs>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验收程序：本项目履约验收程序为：</w:t>
      </w:r>
      <w:r>
        <w:rPr>
          <w:rFonts w:hint="eastAsia" w:cs="宋体"/>
          <w:bCs/>
          <w:sz w:val="24"/>
          <w:highlight w:val="none"/>
          <w:u w:val="none"/>
          <w:lang w:val="en-US" w:eastAsia="zh-CN"/>
        </w:rPr>
        <w:t>一次性</w:t>
      </w:r>
      <w:r>
        <w:rPr>
          <w:rFonts w:hint="eastAsia" w:ascii="宋体" w:hAnsi="宋体" w:eastAsia="宋体" w:cs="宋体"/>
          <w:bCs/>
          <w:sz w:val="24"/>
          <w:highlight w:val="none"/>
          <w:u w:val="none"/>
        </w:rPr>
        <w:t>验收；具体验收程序为：服务具备验收条件，</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向</w:t>
      </w: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提供完整服务资料及验收申请；</w:t>
      </w: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收到相关验收资料后，如认为</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验收资料不符合要求，将书面通知</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整改，</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按要求整改后重新提出验收申请；经验收评定，服务质量及服务内容符合合同要求的，</w:t>
      </w: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在验收证明书上盖章签字；服务质量不合格或服务内容有尚未完成的，由</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在商定的期限内进行修补、整改后，再进行验收，直至达到完全符合合同要求为止，并按最后验收合格的日期作为服务完成日期，由此产生的一切费用及逾期责任均由</w:t>
      </w:r>
      <w:r>
        <w:rPr>
          <w:rFonts w:hint="eastAsia" w:ascii="宋体" w:hAnsi="宋体" w:eastAsia="宋体" w:cs="宋体"/>
          <w:bCs/>
          <w:sz w:val="24"/>
          <w:highlight w:val="none"/>
          <w:u w:val="none"/>
          <w:lang w:eastAsia="zh-CN"/>
        </w:rPr>
        <w:t>中选供应商</w:t>
      </w:r>
      <w:r>
        <w:rPr>
          <w:rFonts w:hint="eastAsia" w:ascii="宋体" w:hAnsi="宋体" w:eastAsia="宋体" w:cs="宋体"/>
          <w:bCs/>
          <w:sz w:val="24"/>
          <w:highlight w:val="none"/>
          <w:u w:val="none"/>
        </w:rPr>
        <w:t>负责。</w:t>
      </w:r>
    </w:p>
    <w:p w14:paraId="1F8BCC9E">
      <w:pPr>
        <w:keepNext w:val="0"/>
        <w:keepLines w:val="0"/>
        <w:pageBreakBefore w:val="0"/>
        <w:numPr>
          <w:ilvl w:val="0"/>
          <w:numId w:val="11"/>
        </w:numPr>
        <w:tabs>
          <w:tab w:val="left" w:pos="312"/>
          <w:tab w:val="clear" w:pos="0"/>
        </w:tabs>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验收内容：</w:t>
      </w:r>
    </w:p>
    <w:p w14:paraId="32B3B4D5">
      <w:pPr>
        <w:keepNext w:val="0"/>
        <w:keepLines w:val="0"/>
        <w:pageBreakBefore w:val="0"/>
        <w:widowControl w:val="0"/>
        <w:numPr>
          <w:ilvl w:val="0"/>
          <w:numId w:val="12"/>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技术履约验收内容：按照本项目</w:t>
      </w:r>
      <w:r>
        <w:rPr>
          <w:rFonts w:hint="eastAsia" w:cs="宋体"/>
          <w:bCs/>
          <w:sz w:val="24"/>
          <w:highlight w:val="none"/>
          <w:u w:val="none"/>
          <w:lang w:eastAsia="zh-CN"/>
        </w:rPr>
        <w:t>比选</w:t>
      </w:r>
      <w:r>
        <w:rPr>
          <w:rFonts w:hint="eastAsia" w:ascii="宋体" w:hAnsi="宋体" w:eastAsia="宋体" w:cs="宋体"/>
          <w:bCs/>
          <w:sz w:val="24"/>
          <w:highlight w:val="none"/>
          <w:u w:val="none"/>
        </w:rPr>
        <w:t>文件中“服务</w:t>
      </w:r>
      <w:r>
        <w:rPr>
          <w:rFonts w:hint="eastAsia" w:ascii="宋体" w:hAnsi="宋体" w:eastAsia="宋体" w:cs="宋体"/>
          <w:bCs/>
          <w:sz w:val="24"/>
          <w:highlight w:val="none"/>
          <w:u w:val="none"/>
          <w:lang w:val="en-US" w:eastAsia="zh-CN"/>
        </w:rPr>
        <w:t>内容及</w:t>
      </w:r>
      <w:r>
        <w:rPr>
          <w:rFonts w:hint="eastAsia" w:ascii="宋体" w:hAnsi="宋体" w:eastAsia="宋体" w:cs="宋体"/>
          <w:bCs/>
          <w:sz w:val="24"/>
          <w:highlight w:val="none"/>
          <w:u w:val="none"/>
        </w:rPr>
        <w:t>要求”及</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的</w:t>
      </w:r>
      <w:r>
        <w:rPr>
          <w:rFonts w:hint="eastAsia" w:cs="宋体"/>
          <w:bCs/>
          <w:sz w:val="24"/>
          <w:highlight w:val="none"/>
          <w:u w:val="none"/>
          <w:lang w:eastAsia="zh-CN"/>
        </w:rPr>
        <w:t>比选</w:t>
      </w:r>
      <w:r>
        <w:rPr>
          <w:rFonts w:hint="eastAsia" w:ascii="宋体" w:hAnsi="宋体" w:eastAsia="宋体" w:cs="宋体"/>
          <w:bCs/>
          <w:sz w:val="24"/>
          <w:highlight w:val="none"/>
          <w:u w:val="none"/>
          <w:lang w:eastAsia="zh-CN"/>
        </w:rPr>
        <w:t>申请文件</w:t>
      </w:r>
      <w:r>
        <w:rPr>
          <w:rFonts w:hint="eastAsia" w:ascii="宋体" w:hAnsi="宋体" w:eastAsia="宋体" w:cs="宋体"/>
          <w:bCs/>
          <w:sz w:val="24"/>
          <w:highlight w:val="none"/>
          <w:u w:val="none"/>
        </w:rPr>
        <w:t>与采购合同约定进行验收，同时 ，</w:t>
      </w: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有权按照</w:t>
      </w:r>
      <w:r>
        <w:rPr>
          <w:rFonts w:hint="eastAsia" w:cs="宋体"/>
          <w:bCs/>
          <w:sz w:val="24"/>
          <w:highlight w:val="none"/>
          <w:u w:val="none"/>
          <w:lang w:eastAsia="zh-CN"/>
        </w:rPr>
        <w:t>比选</w:t>
      </w:r>
      <w:r>
        <w:rPr>
          <w:rFonts w:hint="eastAsia" w:ascii="宋体" w:hAnsi="宋体" w:eastAsia="宋体" w:cs="宋体"/>
          <w:bCs/>
          <w:sz w:val="24"/>
          <w:highlight w:val="none"/>
          <w:u w:val="none"/>
        </w:rPr>
        <w:t>文件中“服务</w:t>
      </w:r>
      <w:r>
        <w:rPr>
          <w:rFonts w:hint="eastAsia" w:ascii="宋体" w:hAnsi="宋体" w:eastAsia="宋体" w:cs="宋体"/>
          <w:bCs/>
          <w:sz w:val="24"/>
          <w:highlight w:val="none"/>
          <w:u w:val="none"/>
          <w:lang w:val="en-US" w:eastAsia="zh-CN"/>
        </w:rPr>
        <w:t>内容及</w:t>
      </w:r>
      <w:r>
        <w:rPr>
          <w:rFonts w:hint="eastAsia" w:ascii="宋体" w:hAnsi="宋体" w:eastAsia="宋体" w:cs="宋体"/>
          <w:bCs/>
          <w:sz w:val="24"/>
          <w:highlight w:val="none"/>
          <w:u w:val="none"/>
        </w:rPr>
        <w:t>要求”及</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的</w:t>
      </w:r>
      <w:r>
        <w:rPr>
          <w:rFonts w:hint="eastAsia" w:cs="宋体"/>
          <w:bCs/>
          <w:sz w:val="24"/>
          <w:highlight w:val="none"/>
          <w:u w:val="none"/>
          <w:lang w:eastAsia="zh-CN"/>
        </w:rPr>
        <w:t>比选</w:t>
      </w:r>
      <w:r>
        <w:rPr>
          <w:rFonts w:hint="eastAsia" w:ascii="宋体" w:hAnsi="宋体" w:eastAsia="宋体" w:cs="宋体"/>
          <w:bCs/>
          <w:sz w:val="24"/>
          <w:highlight w:val="none"/>
          <w:u w:val="none"/>
          <w:lang w:eastAsia="zh-CN"/>
        </w:rPr>
        <w:t>申请文件</w:t>
      </w:r>
      <w:r>
        <w:rPr>
          <w:rFonts w:hint="eastAsia" w:ascii="宋体" w:hAnsi="宋体" w:eastAsia="宋体" w:cs="宋体"/>
          <w:bCs/>
          <w:sz w:val="24"/>
          <w:highlight w:val="none"/>
          <w:u w:val="none"/>
        </w:rPr>
        <w:t>与采购合同约定的规定对每一项技术、服务、安全等标准的履约情况进行确认。</w:t>
      </w:r>
    </w:p>
    <w:p w14:paraId="420E7649">
      <w:pPr>
        <w:keepNext w:val="0"/>
        <w:keepLines w:val="0"/>
        <w:pageBreakBefore w:val="0"/>
        <w:widowControl w:val="0"/>
        <w:numPr>
          <w:ilvl w:val="0"/>
          <w:numId w:val="12"/>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商务履约验收内容：按照本项目</w:t>
      </w:r>
      <w:r>
        <w:rPr>
          <w:rFonts w:hint="eastAsia" w:cs="宋体"/>
          <w:bCs/>
          <w:sz w:val="24"/>
          <w:highlight w:val="none"/>
          <w:u w:val="none"/>
          <w:lang w:eastAsia="zh-CN"/>
        </w:rPr>
        <w:t>比选</w:t>
      </w:r>
      <w:r>
        <w:rPr>
          <w:rFonts w:hint="eastAsia" w:ascii="宋体" w:hAnsi="宋体" w:eastAsia="宋体" w:cs="宋体"/>
          <w:bCs/>
          <w:sz w:val="24"/>
          <w:highlight w:val="none"/>
          <w:u w:val="none"/>
        </w:rPr>
        <w:t>文件中“商务要求”及</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的</w:t>
      </w:r>
      <w:r>
        <w:rPr>
          <w:rFonts w:hint="eastAsia" w:cs="宋体"/>
          <w:bCs/>
          <w:sz w:val="24"/>
          <w:highlight w:val="none"/>
          <w:u w:val="none"/>
          <w:lang w:eastAsia="zh-CN"/>
        </w:rPr>
        <w:t>比选</w:t>
      </w:r>
      <w:r>
        <w:rPr>
          <w:rFonts w:hint="eastAsia" w:ascii="宋体" w:hAnsi="宋体" w:eastAsia="宋体" w:cs="宋体"/>
          <w:bCs/>
          <w:sz w:val="24"/>
          <w:highlight w:val="none"/>
          <w:u w:val="none"/>
          <w:lang w:eastAsia="zh-CN"/>
        </w:rPr>
        <w:t>申请文件</w:t>
      </w:r>
      <w:r>
        <w:rPr>
          <w:rFonts w:hint="eastAsia" w:ascii="宋体" w:hAnsi="宋体" w:eastAsia="宋体" w:cs="宋体"/>
          <w:bCs/>
          <w:sz w:val="24"/>
          <w:highlight w:val="none"/>
          <w:u w:val="none"/>
        </w:rPr>
        <w:t>与采购合同约定进行验收</w:t>
      </w:r>
      <w:r>
        <w:rPr>
          <w:rFonts w:hint="eastAsia" w:ascii="宋体" w:hAnsi="宋体" w:eastAsia="宋体" w:cs="宋体"/>
          <w:bCs/>
          <w:sz w:val="24"/>
          <w:highlight w:val="none"/>
          <w:u w:val="none"/>
          <w:lang w:eastAsia="zh-CN"/>
        </w:rPr>
        <w:t>，</w:t>
      </w:r>
      <w:r>
        <w:rPr>
          <w:rFonts w:hint="eastAsia" w:ascii="宋体" w:hAnsi="宋体" w:eastAsia="宋体" w:cs="宋体"/>
          <w:bCs/>
          <w:sz w:val="24"/>
          <w:highlight w:val="none"/>
          <w:u w:val="none"/>
          <w:lang w:val="en-US" w:eastAsia="zh-CN"/>
        </w:rPr>
        <w:t>同时 ，甲方有权按照</w:t>
      </w:r>
      <w:r>
        <w:rPr>
          <w:rFonts w:hint="eastAsia" w:cs="宋体"/>
          <w:bCs/>
          <w:sz w:val="24"/>
          <w:highlight w:val="none"/>
          <w:u w:val="none"/>
          <w:lang w:val="en-US" w:eastAsia="zh-CN"/>
        </w:rPr>
        <w:t>比选</w:t>
      </w:r>
      <w:r>
        <w:rPr>
          <w:rFonts w:hint="eastAsia" w:ascii="宋体" w:hAnsi="宋体" w:eastAsia="宋体" w:cs="宋体"/>
          <w:bCs/>
          <w:sz w:val="24"/>
          <w:highlight w:val="none"/>
          <w:u w:val="none"/>
          <w:lang w:val="en-US" w:eastAsia="zh-CN"/>
        </w:rPr>
        <w:t>文件中“商务要求”及乙方的</w:t>
      </w:r>
      <w:r>
        <w:rPr>
          <w:rFonts w:hint="eastAsia" w:cs="宋体"/>
          <w:bCs/>
          <w:sz w:val="24"/>
          <w:highlight w:val="none"/>
          <w:u w:val="none"/>
          <w:lang w:val="en-US" w:eastAsia="zh-CN"/>
        </w:rPr>
        <w:t>比选</w:t>
      </w:r>
      <w:r>
        <w:rPr>
          <w:rFonts w:hint="eastAsia" w:ascii="宋体" w:hAnsi="宋体" w:eastAsia="宋体" w:cs="宋体"/>
          <w:bCs/>
          <w:sz w:val="24"/>
          <w:highlight w:val="none"/>
          <w:u w:val="none"/>
          <w:lang w:val="en-US" w:eastAsia="zh-CN"/>
        </w:rPr>
        <w:t>申请文件与采购合同约定的规定对每一项技术、服务、安全等标准的履约情况进行确认。</w:t>
      </w:r>
    </w:p>
    <w:p w14:paraId="30842854">
      <w:pPr>
        <w:keepNext w:val="0"/>
        <w:keepLines w:val="0"/>
        <w:pageBreakBefore w:val="0"/>
        <w:numPr>
          <w:ilvl w:val="0"/>
          <w:numId w:val="11"/>
        </w:numPr>
        <w:tabs>
          <w:tab w:val="left" w:pos="312"/>
          <w:tab w:val="clear" w:pos="0"/>
        </w:tabs>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验收标准</w:t>
      </w:r>
    </w:p>
    <w:p w14:paraId="6CEBE75F">
      <w:pPr>
        <w:keepNext w:val="0"/>
        <w:keepLines w:val="0"/>
        <w:pageBreakBefore w:val="0"/>
        <w:widowControl w:val="0"/>
        <w:numPr>
          <w:ilvl w:val="0"/>
          <w:numId w:val="13"/>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lang w:eastAsia="zh-CN"/>
        </w:rPr>
      </w:pPr>
      <w:r>
        <w:rPr>
          <w:rFonts w:hint="eastAsia" w:ascii="宋体" w:hAnsi="宋体" w:eastAsia="宋体" w:cs="宋体"/>
          <w:bCs/>
          <w:sz w:val="24"/>
          <w:highlight w:val="none"/>
          <w:u w:val="none"/>
        </w:rPr>
        <w:t>按</w:t>
      </w:r>
      <w:r>
        <w:rPr>
          <w:rFonts w:hint="eastAsia" w:cs="宋体"/>
          <w:bCs/>
          <w:sz w:val="24"/>
          <w:highlight w:val="none"/>
          <w:u w:val="none"/>
          <w:lang w:eastAsia="zh-CN"/>
        </w:rPr>
        <w:t>比选</w:t>
      </w:r>
      <w:r>
        <w:rPr>
          <w:rFonts w:hint="eastAsia" w:ascii="宋体" w:hAnsi="宋体" w:eastAsia="宋体" w:cs="宋体"/>
          <w:bCs/>
          <w:sz w:val="24"/>
          <w:highlight w:val="none"/>
          <w:u w:val="none"/>
          <w:lang w:eastAsia="zh-CN"/>
        </w:rPr>
        <w:t>文件的服务</w:t>
      </w:r>
      <w:r>
        <w:rPr>
          <w:rFonts w:hint="eastAsia" w:ascii="宋体" w:hAnsi="宋体" w:eastAsia="宋体" w:cs="宋体"/>
          <w:bCs/>
          <w:sz w:val="24"/>
          <w:highlight w:val="none"/>
          <w:u w:val="none"/>
          <w:lang w:val="en-US" w:eastAsia="zh-CN"/>
        </w:rPr>
        <w:t>内容及</w:t>
      </w:r>
      <w:r>
        <w:rPr>
          <w:rFonts w:hint="eastAsia" w:ascii="宋体" w:hAnsi="宋体" w:eastAsia="宋体" w:cs="宋体"/>
          <w:bCs/>
          <w:sz w:val="24"/>
          <w:highlight w:val="none"/>
          <w:u w:val="none"/>
          <w:lang w:eastAsia="zh-CN"/>
        </w:rPr>
        <w:t>要求</w:t>
      </w:r>
      <w:r>
        <w:rPr>
          <w:rFonts w:hint="eastAsia" w:ascii="宋体" w:hAnsi="宋体" w:eastAsia="宋体" w:cs="宋体"/>
          <w:bCs/>
          <w:sz w:val="24"/>
          <w:highlight w:val="none"/>
          <w:u w:val="none"/>
        </w:rPr>
        <w:t>、供应商的</w:t>
      </w:r>
      <w:r>
        <w:rPr>
          <w:rFonts w:hint="eastAsia" w:cs="宋体"/>
          <w:bCs/>
          <w:sz w:val="24"/>
          <w:highlight w:val="none"/>
          <w:u w:val="none"/>
          <w:lang w:eastAsia="zh-CN"/>
        </w:rPr>
        <w:t>比选</w:t>
      </w:r>
      <w:r>
        <w:rPr>
          <w:rFonts w:hint="eastAsia" w:ascii="宋体" w:hAnsi="宋体" w:eastAsia="宋体" w:cs="宋体"/>
          <w:bCs/>
          <w:sz w:val="24"/>
          <w:highlight w:val="none"/>
          <w:u w:val="none"/>
          <w:lang w:eastAsia="zh-CN"/>
        </w:rPr>
        <w:t>申请文件</w:t>
      </w:r>
      <w:r>
        <w:rPr>
          <w:rFonts w:hint="eastAsia" w:ascii="宋体" w:hAnsi="宋体" w:eastAsia="宋体" w:cs="宋体"/>
          <w:bCs/>
          <w:sz w:val="24"/>
          <w:highlight w:val="none"/>
          <w:u w:val="none"/>
        </w:rPr>
        <w:t>及承诺与本合同约定标准进行验收；双方如对</w:t>
      </w:r>
      <w:r>
        <w:rPr>
          <w:rFonts w:hint="eastAsia" w:ascii="宋体" w:hAnsi="宋体" w:eastAsia="宋体" w:cs="宋体"/>
          <w:bCs/>
          <w:sz w:val="24"/>
          <w:highlight w:val="none"/>
          <w:u w:val="none"/>
          <w:lang w:eastAsia="zh-CN"/>
        </w:rPr>
        <w:t>服务要求和考核标准</w:t>
      </w:r>
      <w:r>
        <w:rPr>
          <w:rFonts w:hint="eastAsia" w:ascii="宋体" w:hAnsi="宋体" w:eastAsia="宋体" w:cs="宋体"/>
          <w:bCs/>
          <w:sz w:val="24"/>
          <w:highlight w:val="none"/>
          <w:u w:val="none"/>
        </w:rPr>
        <w:t>的约定标准有相互抵触或异议的事项，由采购人在</w:t>
      </w:r>
      <w:r>
        <w:rPr>
          <w:rFonts w:hint="eastAsia" w:cs="宋体"/>
          <w:bCs/>
          <w:sz w:val="24"/>
          <w:highlight w:val="none"/>
          <w:u w:val="none"/>
          <w:lang w:eastAsia="zh-CN"/>
        </w:rPr>
        <w:t>比选</w:t>
      </w:r>
      <w:r>
        <w:rPr>
          <w:rFonts w:hint="eastAsia" w:ascii="宋体" w:hAnsi="宋体" w:eastAsia="宋体" w:cs="宋体"/>
          <w:bCs/>
          <w:sz w:val="24"/>
          <w:highlight w:val="none"/>
          <w:u w:val="none"/>
          <w:lang w:eastAsia="zh-CN"/>
        </w:rPr>
        <w:t>申请文件</w:t>
      </w:r>
      <w:r>
        <w:rPr>
          <w:rFonts w:hint="eastAsia" w:ascii="宋体" w:hAnsi="宋体" w:eastAsia="宋体" w:cs="宋体"/>
          <w:bCs/>
          <w:sz w:val="24"/>
          <w:highlight w:val="none"/>
          <w:u w:val="none"/>
        </w:rPr>
        <w:t>中按</w:t>
      </w:r>
      <w:r>
        <w:rPr>
          <w:rFonts w:hint="eastAsia" w:ascii="宋体" w:hAnsi="宋体" w:eastAsia="宋体" w:cs="宋体"/>
          <w:bCs/>
          <w:sz w:val="24"/>
          <w:highlight w:val="none"/>
          <w:u w:val="none"/>
          <w:lang w:eastAsia="zh-CN"/>
        </w:rPr>
        <w:t>服务要求和考核标准</w:t>
      </w:r>
      <w:r>
        <w:rPr>
          <w:rFonts w:hint="eastAsia" w:ascii="宋体" w:hAnsi="宋体" w:eastAsia="宋体" w:cs="宋体"/>
          <w:bCs/>
          <w:sz w:val="24"/>
          <w:highlight w:val="none"/>
          <w:u w:val="none"/>
        </w:rPr>
        <w:t>比较优胜的原则确定该项的约定标准进行验收</w:t>
      </w:r>
      <w:r>
        <w:rPr>
          <w:rFonts w:hint="eastAsia" w:ascii="宋体" w:hAnsi="宋体" w:eastAsia="宋体" w:cs="宋体"/>
          <w:bCs/>
          <w:sz w:val="24"/>
          <w:highlight w:val="none"/>
          <w:u w:val="none"/>
          <w:lang w:eastAsia="zh-CN"/>
        </w:rPr>
        <w:t>。</w:t>
      </w:r>
    </w:p>
    <w:p w14:paraId="4DCCACE2">
      <w:pPr>
        <w:keepNext w:val="0"/>
        <w:keepLines w:val="0"/>
        <w:pageBreakBefore w:val="0"/>
        <w:widowControl w:val="0"/>
        <w:numPr>
          <w:ilvl w:val="0"/>
          <w:numId w:val="13"/>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其他验收标准：按照《财政部关于进一步加强政府采购需求和履约验收管理的指导意见》</w:t>
      </w:r>
      <w:r>
        <w:rPr>
          <w:rFonts w:hint="eastAsia" w:ascii="宋体" w:hAnsi="宋体" w:eastAsia="宋体" w:cs="宋体"/>
          <w:bCs/>
          <w:sz w:val="24"/>
          <w:highlight w:val="none"/>
          <w:u w:val="none"/>
          <w:lang w:eastAsia="zh-CN"/>
        </w:rPr>
        <w:t>（</w:t>
      </w:r>
      <w:r>
        <w:rPr>
          <w:rFonts w:hint="eastAsia" w:ascii="宋体" w:hAnsi="宋体" w:eastAsia="宋体" w:cs="宋体"/>
          <w:bCs/>
          <w:sz w:val="24"/>
          <w:highlight w:val="none"/>
          <w:u w:val="none"/>
        </w:rPr>
        <w:t>财库〔2016〕205号</w:t>
      </w:r>
      <w:r>
        <w:rPr>
          <w:rFonts w:hint="eastAsia" w:ascii="宋体" w:hAnsi="宋体" w:eastAsia="宋体" w:cs="宋体"/>
          <w:bCs/>
          <w:sz w:val="24"/>
          <w:highlight w:val="none"/>
          <w:u w:val="none"/>
          <w:lang w:eastAsia="zh-CN"/>
        </w:rPr>
        <w:t>）</w:t>
      </w:r>
      <w:r>
        <w:rPr>
          <w:rFonts w:hint="eastAsia" w:ascii="宋体" w:hAnsi="宋体" w:eastAsia="宋体" w:cs="宋体"/>
          <w:bCs/>
          <w:sz w:val="24"/>
          <w:highlight w:val="none"/>
          <w:u w:val="none"/>
        </w:rPr>
        <w:t>及本项目</w:t>
      </w:r>
      <w:r>
        <w:rPr>
          <w:rFonts w:hint="eastAsia" w:cs="宋体"/>
          <w:bCs/>
          <w:sz w:val="24"/>
          <w:highlight w:val="none"/>
          <w:u w:val="none"/>
          <w:lang w:eastAsia="zh-CN"/>
        </w:rPr>
        <w:t>比选</w:t>
      </w:r>
      <w:r>
        <w:rPr>
          <w:rFonts w:hint="eastAsia" w:ascii="宋体" w:hAnsi="宋体" w:eastAsia="宋体" w:cs="宋体"/>
          <w:bCs/>
          <w:sz w:val="24"/>
          <w:highlight w:val="none"/>
          <w:u w:val="none"/>
        </w:rPr>
        <w:t>文件、</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递交的</w:t>
      </w:r>
      <w:r>
        <w:rPr>
          <w:rFonts w:hint="eastAsia" w:cs="宋体"/>
          <w:bCs/>
          <w:sz w:val="24"/>
          <w:highlight w:val="none"/>
          <w:u w:val="none"/>
          <w:lang w:eastAsia="zh-CN"/>
        </w:rPr>
        <w:t>比选</w:t>
      </w:r>
      <w:r>
        <w:rPr>
          <w:rFonts w:hint="eastAsia" w:ascii="宋体" w:hAnsi="宋体" w:eastAsia="宋体" w:cs="宋体"/>
          <w:bCs/>
          <w:sz w:val="24"/>
          <w:highlight w:val="none"/>
          <w:u w:val="none"/>
          <w:lang w:eastAsia="zh-CN"/>
        </w:rPr>
        <w:t>申请文件</w:t>
      </w:r>
      <w:r>
        <w:rPr>
          <w:rFonts w:hint="eastAsia" w:ascii="宋体" w:hAnsi="宋体" w:eastAsia="宋体" w:cs="宋体"/>
          <w:bCs/>
          <w:sz w:val="24"/>
          <w:highlight w:val="none"/>
          <w:u w:val="none"/>
        </w:rPr>
        <w:t>和服务质量执行。</w:t>
      </w:r>
    </w:p>
    <w:p w14:paraId="030E2590">
      <w:pPr>
        <w:keepNext w:val="0"/>
        <w:keepLines w:val="0"/>
        <w:pageBreakBefore w:val="0"/>
        <w:numPr>
          <w:ilvl w:val="0"/>
          <w:numId w:val="11"/>
        </w:numPr>
        <w:tabs>
          <w:tab w:val="left" w:pos="312"/>
          <w:tab w:val="clear" w:pos="0"/>
        </w:tabs>
        <w:kinsoku/>
        <w:wordWrap/>
        <w:overflowPunct/>
        <w:topLinePunct w:val="0"/>
        <w:autoSpaceDE/>
        <w:autoSpaceDN/>
        <w:bidi w:val="0"/>
        <w:adjustRightInd w:val="0"/>
        <w:snapToGrid w:val="0"/>
        <w:spacing w:line="440" w:lineRule="exact"/>
        <w:ind w:left="0" w:leftChars="0" w:firstLine="400" w:firstLineChars="0"/>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其他验收事项：</w:t>
      </w:r>
    </w:p>
    <w:p w14:paraId="1DF76BC3">
      <w:pPr>
        <w:keepNext w:val="0"/>
        <w:keepLines w:val="0"/>
        <w:pageBreakBefore w:val="0"/>
        <w:widowControl w:val="0"/>
        <w:numPr>
          <w:ilvl w:val="0"/>
          <w:numId w:val="14"/>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是否邀请本项目的其他供应商：否；</w:t>
      </w:r>
    </w:p>
    <w:p w14:paraId="1056A50B">
      <w:pPr>
        <w:keepNext w:val="0"/>
        <w:keepLines w:val="0"/>
        <w:pageBreakBefore w:val="0"/>
        <w:widowControl w:val="0"/>
        <w:numPr>
          <w:ilvl w:val="0"/>
          <w:numId w:val="14"/>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是否邀请专家：否；</w:t>
      </w:r>
    </w:p>
    <w:p w14:paraId="258D8F33">
      <w:pPr>
        <w:keepNext w:val="0"/>
        <w:keepLines w:val="0"/>
        <w:pageBreakBefore w:val="0"/>
        <w:widowControl w:val="0"/>
        <w:numPr>
          <w:ilvl w:val="0"/>
          <w:numId w:val="14"/>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是否邀请服务对象：否；</w:t>
      </w:r>
    </w:p>
    <w:p w14:paraId="586BDFB6">
      <w:pPr>
        <w:keepNext w:val="0"/>
        <w:keepLines w:val="0"/>
        <w:pageBreakBefore w:val="0"/>
        <w:widowControl w:val="0"/>
        <w:numPr>
          <w:ilvl w:val="0"/>
          <w:numId w:val="14"/>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是否邀请第三方检测机构：否；</w:t>
      </w:r>
    </w:p>
    <w:p w14:paraId="03657562">
      <w:pPr>
        <w:keepNext w:val="0"/>
        <w:keepLines w:val="0"/>
        <w:pageBreakBefore w:val="0"/>
        <w:widowControl w:val="0"/>
        <w:numPr>
          <w:ilvl w:val="0"/>
          <w:numId w:val="14"/>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应当配合</w:t>
      </w: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做好项目验收，提供同项目验收相关的生产、技术、服务、数量、质量安全等资料，</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应当在</w:t>
      </w: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提供的《成都武侯祠履约验收情况报告》等验收材料上加盖</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公章，</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对验收意见存在异议拒不签字盖章或拒不认可验收意见的，视为未通过验收，</w:t>
      </w: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应当更换专业技术人员或邀请相关行业主管部门参与，重新组织验收，以重新组织验收的意见作为最终验收结论，</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应予以配合并执行。</w:t>
      </w:r>
    </w:p>
    <w:p w14:paraId="3D83F7DC">
      <w:pPr>
        <w:keepNext w:val="0"/>
        <w:keepLines w:val="0"/>
        <w:pageBreakBefore w:val="0"/>
        <w:widowControl w:val="0"/>
        <w:numPr>
          <w:ilvl w:val="0"/>
          <w:numId w:val="14"/>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验收结果与本项目采购合同约定的资金支付及履约保证金（如果有）返还条件挂钩，验收不合格的，</w:t>
      </w: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有权根据本项目</w:t>
      </w:r>
      <w:r>
        <w:rPr>
          <w:rFonts w:hint="eastAsia" w:cs="宋体"/>
          <w:bCs/>
          <w:sz w:val="24"/>
          <w:highlight w:val="none"/>
          <w:u w:val="none"/>
          <w:lang w:eastAsia="zh-CN"/>
        </w:rPr>
        <w:t>比选</w:t>
      </w:r>
      <w:r>
        <w:rPr>
          <w:rFonts w:hint="eastAsia" w:ascii="宋体" w:hAnsi="宋体" w:eastAsia="宋体" w:cs="宋体"/>
          <w:bCs/>
          <w:sz w:val="24"/>
          <w:highlight w:val="none"/>
          <w:u w:val="none"/>
          <w:lang w:eastAsia="zh-CN"/>
        </w:rPr>
        <w:t>文件</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的</w:t>
      </w:r>
      <w:r>
        <w:rPr>
          <w:rFonts w:hint="eastAsia" w:cs="宋体"/>
          <w:bCs/>
          <w:sz w:val="24"/>
          <w:highlight w:val="none"/>
          <w:u w:val="none"/>
          <w:lang w:eastAsia="zh-CN"/>
        </w:rPr>
        <w:t>比选</w:t>
      </w:r>
      <w:r>
        <w:rPr>
          <w:rFonts w:hint="eastAsia" w:ascii="宋体" w:hAnsi="宋体" w:eastAsia="宋体" w:cs="宋体"/>
          <w:bCs/>
          <w:sz w:val="24"/>
          <w:highlight w:val="none"/>
          <w:u w:val="none"/>
          <w:lang w:eastAsia="zh-CN"/>
        </w:rPr>
        <w:t>申请文件</w:t>
      </w:r>
      <w:r>
        <w:rPr>
          <w:rFonts w:hint="eastAsia" w:ascii="宋体" w:hAnsi="宋体" w:eastAsia="宋体" w:cs="宋体"/>
          <w:bCs/>
          <w:sz w:val="24"/>
          <w:highlight w:val="none"/>
          <w:u w:val="none"/>
        </w:rPr>
        <w:t>、采购合同以及《中华人民共和国民法典》的规定追究</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的违约责任，此外，若</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在履约过程中存在政府采购法律法规规定的违法违规情形的，</w:t>
      </w:r>
      <w:r>
        <w:rPr>
          <w:rFonts w:hint="eastAsia" w:cs="宋体"/>
          <w:bCs/>
          <w:sz w:val="24"/>
          <w:highlight w:val="none"/>
          <w:u w:val="none"/>
          <w:lang w:eastAsia="zh-CN"/>
        </w:rPr>
        <w:t>比选</w:t>
      </w:r>
      <w:r>
        <w:rPr>
          <w:rFonts w:hint="eastAsia" w:ascii="宋体" w:hAnsi="宋体" w:eastAsia="宋体" w:cs="宋体"/>
          <w:bCs/>
          <w:sz w:val="24"/>
          <w:highlight w:val="none"/>
          <w:u w:val="none"/>
        </w:rPr>
        <w:t>人有权向上级主管部门反映。</w:t>
      </w:r>
    </w:p>
    <w:p w14:paraId="784F386F">
      <w:pPr>
        <w:keepNext w:val="0"/>
        <w:keepLines w:val="0"/>
        <w:pageBreakBefore w:val="0"/>
        <w:widowControl w:val="0"/>
        <w:numPr>
          <w:ilvl w:val="0"/>
          <w:numId w:val="14"/>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本项目验收结果与采购合同约定内容不一致的，经履约验收主体确认，</w:t>
      </w:r>
      <w:r>
        <w:rPr>
          <w:rFonts w:hint="eastAsia" w:ascii="宋体" w:hAnsi="宋体" w:eastAsia="宋体" w:cs="宋体"/>
          <w:bCs/>
          <w:sz w:val="24"/>
          <w:highlight w:val="none"/>
          <w:u w:val="none"/>
          <w:lang w:eastAsia="zh-CN"/>
        </w:rPr>
        <w:t>供应商</w:t>
      </w:r>
      <w:r>
        <w:rPr>
          <w:rFonts w:hint="eastAsia" w:ascii="宋体" w:hAnsi="宋体" w:eastAsia="宋体" w:cs="宋体"/>
          <w:bCs/>
          <w:sz w:val="24"/>
          <w:highlight w:val="none"/>
          <w:u w:val="none"/>
        </w:rPr>
        <w:t>所提供的货物（若涉及）、工程（若涉及）和服务比采购合同约定内容提高了使用功能和标准或者属于技术更新换代产品（若涉及），在不影响、不降低</w:t>
      </w:r>
      <w:r>
        <w:rPr>
          <w:rFonts w:hint="eastAsia" w:ascii="宋体" w:hAnsi="宋体" w:eastAsia="宋体" w:cs="宋体"/>
          <w:bCs/>
          <w:sz w:val="24"/>
          <w:highlight w:val="none"/>
          <w:u w:val="none"/>
          <w:lang w:eastAsia="zh-CN"/>
        </w:rPr>
        <w:t>整个</w:t>
      </w:r>
      <w:r>
        <w:rPr>
          <w:rFonts w:hint="eastAsia" w:ascii="宋体" w:hAnsi="宋体" w:eastAsia="宋体" w:cs="宋体"/>
          <w:bCs/>
          <w:sz w:val="24"/>
          <w:highlight w:val="none"/>
          <w:u w:val="none"/>
        </w:rPr>
        <w:t>项目的运行质量和功能且未增加合同金额的前提下，可以验收通过。</w:t>
      </w:r>
    </w:p>
    <w:p w14:paraId="7D5B0F86">
      <w:pPr>
        <w:keepNext w:val="0"/>
        <w:keepLines w:val="0"/>
        <w:pageBreakBefore w:val="0"/>
        <w:widowControl w:val="0"/>
        <w:numPr>
          <w:ilvl w:val="0"/>
          <w:numId w:val="14"/>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通过四川省政府采购评审专家库借用评审专家参与</w:t>
      </w:r>
      <w:r>
        <w:rPr>
          <w:rFonts w:hint="eastAsia" w:ascii="宋体" w:hAnsi="宋体" w:eastAsia="宋体" w:cs="宋体"/>
          <w:bCs/>
          <w:sz w:val="24"/>
          <w:highlight w:val="none"/>
          <w:u w:val="none"/>
          <w:lang w:eastAsia="zh-CN"/>
        </w:rPr>
        <w:t>本次</w:t>
      </w:r>
      <w:r>
        <w:rPr>
          <w:rFonts w:hint="eastAsia" w:ascii="宋体" w:hAnsi="宋体" w:eastAsia="宋体" w:cs="宋体"/>
          <w:bCs/>
          <w:sz w:val="24"/>
          <w:highlight w:val="none"/>
          <w:u w:val="none"/>
        </w:rPr>
        <w:t>履约验收产生的专家劳务费，由</w:t>
      </w:r>
      <w:r>
        <w:rPr>
          <w:rFonts w:hint="eastAsia" w:ascii="宋体" w:hAnsi="宋体" w:eastAsia="宋体" w:cs="宋体"/>
          <w:bCs/>
          <w:sz w:val="24"/>
          <w:highlight w:val="none"/>
          <w:u w:val="none"/>
          <w:lang w:eastAsia="zh-CN"/>
        </w:rPr>
        <w:t>采购人</w:t>
      </w:r>
      <w:r>
        <w:rPr>
          <w:rFonts w:hint="eastAsia" w:ascii="宋体" w:hAnsi="宋体" w:eastAsia="宋体" w:cs="宋体"/>
          <w:bCs/>
          <w:sz w:val="24"/>
          <w:highlight w:val="none"/>
          <w:u w:val="none"/>
        </w:rPr>
        <w:t>参照《成都武侯祠博物馆专家劳务费管理办法》的标准支付。</w:t>
      </w:r>
    </w:p>
    <w:p w14:paraId="6A06B6FD">
      <w:pPr>
        <w:keepNext w:val="0"/>
        <w:keepLines w:val="0"/>
        <w:pageBreakBefore w:val="0"/>
        <w:widowControl w:val="0"/>
        <w:numPr>
          <w:ilvl w:val="0"/>
          <w:numId w:val="14"/>
        </w:numPr>
        <w:tabs>
          <w:tab w:val="left" w:pos="312"/>
          <w:tab w:val="clear" w:pos="420"/>
          <w:tab w:val="clear" w:pos="0"/>
        </w:tabs>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bCs/>
          <w:sz w:val="24"/>
          <w:highlight w:val="none"/>
          <w:u w:val="none"/>
        </w:rPr>
      </w:pPr>
      <w:r>
        <w:rPr>
          <w:rFonts w:hint="eastAsia" w:ascii="宋体" w:hAnsi="宋体" w:eastAsia="宋体" w:cs="宋体"/>
          <w:bCs/>
          <w:sz w:val="24"/>
          <w:highlight w:val="none"/>
          <w:u w:val="none"/>
        </w:rPr>
        <w:t>供应商不履行合同或者未按合同约定履行合同导致验收不合格，视为供应商违约，采购人有权选择按照采购合同（成交价格）的</w:t>
      </w:r>
      <w:r>
        <w:rPr>
          <w:rFonts w:hint="eastAsia" w:ascii="宋体" w:hAnsi="宋体" w:eastAsia="宋体" w:cs="宋体"/>
          <w:bCs/>
          <w:sz w:val="24"/>
          <w:highlight w:val="none"/>
          <w:u w:val="none"/>
          <w:lang w:val="en-US" w:eastAsia="zh-CN"/>
        </w:rPr>
        <w:t>10</w:t>
      </w:r>
      <w:r>
        <w:rPr>
          <w:rFonts w:hint="eastAsia" w:ascii="宋体" w:hAnsi="宋体" w:eastAsia="宋体" w:cs="宋体"/>
          <w:bCs/>
          <w:sz w:val="24"/>
          <w:highlight w:val="none"/>
          <w:u w:val="none"/>
        </w:rPr>
        <w:t>%对应付服务进行扣减或者要求供应商应按照采购合同（成交价格）的</w:t>
      </w:r>
      <w:r>
        <w:rPr>
          <w:rFonts w:hint="eastAsia" w:ascii="宋体" w:hAnsi="宋体" w:eastAsia="宋体" w:cs="宋体"/>
          <w:bCs/>
          <w:sz w:val="24"/>
          <w:highlight w:val="none"/>
          <w:u w:val="none"/>
          <w:lang w:val="en-US" w:eastAsia="zh-CN"/>
        </w:rPr>
        <w:t>10</w:t>
      </w:r>
      <w:r>
        <w:rPr>
          <w:rFonts w:hint="eastAsia" w:ascii="宋体" w:hAnsi="宋体" w:eastAsia="宋体" w:cs="宋体"/>
          <w:bCs/>
          <w:sz w:val="24"/>
          <w:highlight w:val="none"/>
          <w:u w:val="none"/>
        </w:rPr>
        <w:t>%向采购人支付违约金，违约金不足以弥补采购人实际损失的，供应商应赔偿差额部分，同时，采购人有权要求供应商限期完成整改，供应商拒绝整改或未在采购人限定的期限内完成整改的，视为供应商根本违约，采购人有权单方解除采购合同，且无需向供应商支付任何费用，供应商应退还已向采购人收取的所有费用，同时，供应商应按照采购合同金额（成交价格）的30%向采购人支付违约金，违约金不足以弥补采购人损失的，供应商应全额赔偿采购人的损失。</w:t>
      </w:r>
    </w:p>
    <w:p w14:paraId="00AC5C0D">
      <w:pPr>
        <w:pStyle w:val="9"/>
        <w:numPr>
          <w:ilvl w:val="1"/>
          <w:numId w:val="0"/>
        </w:numPr>
        <w:ind w:left="0" w:leftChars="0" w:firstLine="482" w:firstLineChars="200"/>
        <w:outlineLvl w:val="3"/>
        <w:rPr>
          <w:rFonts w:hint="eastAsia" w:ascii="宋体" w:hAnsi="宋体" w:eastAsia="宋体" w:cs="宋体"/>
          <w:b/>
          <w:bCs/>
          <w:color w:val="auto"/>
          <w:highlight w:val="none"/>
          <w:lang w:val="en-US" w:eastAsia="zh-CN"/>
        </w:rPr>
      </w:pPr>
      <w:r>
        <w:rPr>
          <w:rFonts w:hint="eastAsia" w:cs="宋体"/>
          <w:b/>
          <w:bCs/>
          <w:color w:val="auto"/>
          <w:kern w:val="2"/>
          <w:sz w:val="24"/>
          <w:szCs w:val="24"/>
          <w:lang w:val="en-US" w:eastAsia="zh-CN" w:bidi="ar-SA"/>
        </w:rPr>
        <w:t>（六）</w:t>
      </w:r>
      <w:r>
        <w:rPr>
          <w:rFonts w:hint="eastAsia" w:ascii="宋体" w:hAnsi="宋体" w:eastAsia="宋体" w:cs="宋体"/>
          <w:b/>
          <w:bCs/>
          <w:color w:val="auto"/>
          <w:highlight w:val="none"/>
          <w:lang w:val="en-US" w:eastAsia="zh-CN"/>
        </w:rPr>
        <w:t>争议的解决方法</w:t>
      </w:r>
    </w:p>
    <w:p w14:paraId="306A5386">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在执行本合同中发生的或与本合同</w:t>
      </w:r>
      <w:bookmarkStart w:id="3" w:name="_GoBack"/>
      <w:bookmarkEnd w:id="3"/>
      <w:r>
        <w:rPr>
          <w:rFonts w:hint="eastAsia" w:ascii="宋体" w:hAnsi="宋体" w:eastAsia="宋体" w:cs="宋体"/>
          <w:bCs/>
          <w:color w:val="auto"/>
          <w:kern w:val="2"/>
          <w:sz w:val="24"/>
          <w:szCs w:val="24"/>
          <w:highlight w:val="none"/>
        </w:rPr>
        <w:t>有关的争端，双方应通过友好协商解决，经协商不能达成协议时，双方同意向甲方所在地</w:t>
      </w:r>
      <w:r>
        <w:rPr>
          <w:rFonts w:hint="eastAsia" w:ascii="宋体" w:hAnsi="宋体" w:cs="宋体"/>
          <w:bCs/>
          <w:color w:val="auto"/>
          <w:kern w:val="2"/>
          <w:sz w:val="24"/>
          <w:szCs w:val="24"/>
          <w:highlight w:val="none"/>
          <w:lang w:eastAsia="zh-CN"/>
        </w:rPr>
        <w:t>人民法院提起诉讼</w:t>
      </w:r>
      <w:r>
        <w:rPr>
          <w:rFonts w:hint="eastAsia" w:ascii="宋体" w:hAnsi="宋体" w:eastAsia="宋体" w:cs="宋体"/>
          <w:bCs/>
          <w:color w:val="auto"/>
          <w:kern w:val="2"/>
          <w:sz w:val="24"/>
          <w:szCs w:val="24"/>
          <w:highlight w:val="none"/>
        </w:rPr>
        <w:t>解决争议。</w:t>
      </w:r>
    </w:p>
    <w:p w14:paraId="16A6B1C7">
      <w:pPr>
        <w:pStyle w:val="9"/>
        <w:numPr>
          <w:ilvl w:val="1"/>
          <w:numId w:val="0"/>
        </w:numPr>
        <w:ind w:left="0" w:leftChars="0" w:firstLine="482" w:firstLineChars="200"/>
        <w:outlineLvl w:val="3"/>
        <w:rPr>
          <w:rFonts w:hint="eastAsia" w:ascii="宋体" w:hAnsi="宋体" w:eastAsia="宋体" w:cs="宋体"/>
          <w:b/>
          <w:bCs/>
          <w:color w:val="auto"/>
          <w:highlight w:val="none"/>
          <w:lang w:val="en-US" w:eastAsia="zh-CN"/>
        </w:rPr>
      </w:pPr>
      <w:r>
        <w:rPr>
          <w:rFonts w:hint="eastAsia" w:cs="宋体"/>
          <w:b/>
          <w:bCs/>
          <w:color w:val="auto"/>
          <w:kern w:val="2"/>
          <w:sz w:val="24"/>
          <w:szCs w:val="24"/>
          <w:lang w:val="en-US" w:eastAsia="zh-CN" w:bidi="ar-SA"/>
        </w:rPr>
        <w:t>（七）</w:t>
      </w:r>
      <w:r>
        <w:rPr>
          <w:rFonts w:hint="eastAsia" w:ascii="宋体" w:hAnsi="宋体" w:eastAsia="宋体" w:cs="宋体"/>
          <w:b/>
          <w:bCs/>
          <w:color w:val="auto"/>
          <w:highlight w:val="none"/>
          <w:lang w:val="en-US" w:eastAsia="zh-CN"/>
        </w:rPr>
        <w:t>违约责任</w:t>
      </w:r>
    </w:p>
    <w:p w14:paraId="041C70A0">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 xml:space="preserve">1.采购人和供应商双方必须遵守本合同并执行合同中的各项规定，保证本合同的合法正当履行。 </w:t>
      </w:r>
    </w:p>
    <w:p w14:paraId="5F830EF3">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 xml:space="preserve">2.如因供应商工作人员在履行职务过程中的疏忽、失职、过错等故意或者过失原因给采购人造成损失或侵害，包括但不限于采购人本身的财产损失（包括但不限于比选人财产损失，比选人委托第三方代为履行产生的费用、比选人对外赔偿或补偿款、比选人为维权发生的诉讼费、律师费、鉴定费、保全费、公证费、公告费、执行费、评估费、拍卖费、差旅费等合理费用、比选人受行政处罚与消除负面影响发生的费用等，下同）、由此而导致的采购人对任何第三方的法律责任等，供应商对此均应承担全部的赔偿责任。 </w:t>
      </w:r>
    </w:p>
    <w:p w14:paraId="7DF3A8F8">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 xml:space="preserve">3.供应商未能按本合同规定时间提供服务，从逾期之日起每日按本合同总价0.5‰的数额向采购人支付违约金；逾期半个月以上的，采购人有权解除合同，并有权按本合同总价的10%向供应商收取违约金。 </w:t>
      </w:r>
    </w:p>
    <w:p w14:paraId="108F7B46">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4.供应商违反报价承诺的，视为供应商根本违约，采购人有权单方解除采购合同，且无需向供应商支付任何费用，供应商应退还已向采购人收取的所有费用，同时，供应商应按照采购合同金额（成交价格）的 5%向采购人支付违约金，违约金不足以弥补采购人损失的，供应商应全额赔偿采购人的损失。</w:t>
      </w:r>
    </w:p>
    <w:p w14:paraId="6D73FDE5">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5.供应商降低履约标准的，供应商应按照采购合同（成交价格）的3%向采购人支付违约金，同时，采购人有权要求供应商限期完成整改，供应商拒绝整改或未在采购人限定的期限内完成整改的，视为供应商根本违约，采购人有权单方解除采购合同，且无需向供应商支付任何费用，供应商应退还已向采购人收取的所有费用，同时，供应商应按照采购合同金额（成交价格）的 8%向采购人支付违约金，违约金不足以弥补采购人损失的，供应商应全额赔偿采购人的损失。</w:t>
      </w:r>
    </w:p>
    <w:p w14:paraId="1AD40F1F">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6.供应商不履行合同或者未按合同约定履行合同导致验收不合格，视为供应商违约，采购人有权选择按照采购合同（成交价格）的5%对应付服务进行扣减或者要求供应商应按照采购合同（成交价格）的 5 %向采购人支付违约金，同时，采购人有权要求供应商限期完成整改，供应商拒绝整改或未在采购人限定的期限内完成整改的，视为供应商根本违约，采购人有权单方解除采购合同，且无需向供应商支付任何费用，供应商应退还已向采购人收取的所有费用，同时，供应商应按照采购合同金额（成交价格）的 8 %向采购人支付违约金，违约金不足以弥补采购人损失的，供应商应全额赔偿采购人的损失（内涵同前）</w:t>
      </w:r>
    </w:p>
    <w:p w14:paraId="75FB3E47">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7.在合同履行中，采购人、供应商双方就合同履行内容发生争议时应协商解决，供应商不得停止施工/项目且不得减少施工/项目人员，延缓施工/项目进度，否则视为供应商违约，采购人有权单方面解除合同，供应商必须按合同总金额的10%向采购人支付违约金，若该违约金不足以弥补采购人损失（内涵同前）的，供应商应当补足。</w:t>
      </w:r>
    </w:p>
    <w:p w14:paraId="7C9DD329">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8.供应商不得有任何形式的分包和转包。如采购人发现供应商将工程/项目全部或部分转包或分包给第三方，则采购人除有权解除本合同外，供应商还应按合同总金额的10%向采购人支付违约金，若该违约金不足以弥补采购人损失（内涵同前）的，供应商应当补足。</w:t>
      </w:r>
    </w:p>
    <w:p w14:paraId="79A45A35">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9.供应商的工程/项目质量达不到采购人要求，供应商须无偿整改，产生的费用由供应商承担。因为整改造成逾期交付，供应商应按本合同相应条款的约定承担违约责任。</w:t>
      </w:r>
    </w:p>
    <w:p w14:paraId="1ACF5ED4">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10.采购人有权在供应商工期、质量无法满足要求时，通知具备资质的单位对供应商无法满足要求的工作内容进行完善，所产生的全部费用均由供应商承担，且供应商亦应按照该费用的20%向采购人承担违约责任。</w:t>
      </w:r>
    </w:p>
    <w:p w14:paraId="6D82E83A">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11.因供应商原因造成采购人行使合同解除权解除合同的，供应商均应按照合同固定总价的10%向采购人支付违约金，若该违约金不足以弥补采购人损失（内涵同前）的，供应商应当补足支付。</w:t>
      </w:r>
    </w:p>
    <w:p w14:paraId="72B9B43E">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 xml:space="preserve">12.供应商提供的服务不符合本合同规定的，必须按采购人要求进行整改，出现违约3次及以上或未按采购人要求整改的，采购人有权解除本合同，并要求供应商支付本合同总金额20%的违约金。 </w:t>
      </w:r>
    </w:p>
    <w:p w14:paraId="3269C79F">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 xml:space="preserve">13.供应商保证本合同所涉产品的权利无瑕疵，包括产品所有权及知识产权等权利无瑕疵。如任何第三方经法院（或仲裁机构）裁决有权对上述产品主张权利，由供应商承担经济责任的，采购人有权解除本合同，供应商除应向采购人返还已收款项及利息外，还应另按合同总价的20%向采购人支付违约金。 </w:t>
      </w:r>
    </w:p>
    <w:p w14:paraId="1A1834DB">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 xml:space="preserve">14.对本项目履行过程中获取的各类信息等严格保密，如果供应商违反保密条款，给采购人造成经济损失或负面影响，或者供应商因此受到行政或刑事处罚的，采购人有权解除本合同并要求供应商支付合同总金额20%的违约金，供应商还应退还采购人已支付的全部款项。供应商及涉事人员还需承担相关的法律责任。 </w:t>
      </w:r>
    </w:p>
    <w:p w14:paraId="1F2F3FAD">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 xml:space="preserve">15.本项目实施过程中产生的知识产权归采购人所有，供应商保证所提供的服务或其任何一部分均不会侵犯任何第三方的专利权、商标权、著作权或其他合法权益，否则视为供应商违约，由此产生的一切损失由供应商承担。 </w:t>
      </w:r>
    </w:p>
    <w:p w14:paraId="46D87FA8">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16.供应商未按照本合同要求履行安全、文明施工/服务义务，导致发生安全事故或采购人发现现场有安全隐患的，供应商应立即整改，采购人有权要求供应商按500元/次的标准支付违约金。</w:t>
      </w:r>
    </w:p>
    <w:p w14:paraId="217D4B87">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17.合同履行期间和项目验收投用后，因供应商原因（包括但不限于施工/项目或材料问题），导致任何个人或单位，人身或者财产损失的，供应商应承担全部赔偿责任；前述事件发生后，采购人有权单独以自身名义与受害人达成和解、调解，供应商对该和解、调解协议的内容不持任何异议，并接受采购人以此和解、调解协议的内容向供应商全额追偿；伤害事件若导致行政责任或刑事责任，则采购人所受罚金、罚款、滞纳金等，亦由供应商承担，若采购人先行垫付，则采购人有权向供应商全额追偿；因追偿事件所产生的全部费用，包括但不限于诉讼费、仲裁费、律师费、公告费、保全费、公证费、鉴定费等，皆由供应商全额承担。</w:t>
      </w:r>
    </w:p>
    <w:p w14:paraId="106C386B">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18.供应商支付的违约金不足以弥补采购人损失的，应当赔偿因此给采购人造成的一切损失，包括但不限于律师费、诉讼费、保险费、保全费、保全保险费、差旅费等费用</w:t>
      </w:r>
    </w:p>
    <w:p w14:paraId="39AF5257">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19.对供应商的某一或某些行为，约定了两种或两种以上违约责任的，采购人有权选择适用其中一种或某些违约责任。</w:t>
      </w:r>
    </w:p>
    <w:p w14:paraId="38F64F68">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20.若供应商为中小企业且采购人无故逾期向供应商支付款项，逾期超过10个工作日，供应商可向采购人递交价款支付函，采购人自收到函件后15个工作日内既未说明理由，又未支付款项的，供应商有权要求采购人支付违约金（按照采购人逾期支付的款项金额乘以逾期时全国银行间同业拆借中心同期公布的1年期贷款市场报价利率标准/365天*具体逾期天数计算），但总计不超过逾期支付款项本金的 5%。</w:t>
      </w:r>
    </w:p>
    <w:p w14:paraId="3CA59A70">
      <w:pPr>
        <w:pStyle w:val="2"/>
        <w:rPr>
          <w:rFonts w:hint="eastAsia" w:ascii="宋体" w:hAnsi="宋体" w:eastAsia="宋体" w:cs="宋体"/>
          <w:b/>
          <w:bCs w:val="0"/>
          <w:color w:val="auto"/>
          <w:kern w:val="2"/>
          <w:sz w:val="24"/>
          <w:szCs w:val="24"/>
          <w:highlight w:val="none"/>
        </w:rPr>
      </w:pPr>
    </w:p>
    <w:p w14:paraId="3E64274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4804A"/>
    <w:multiLevelType w:val="multilevel"/>
    <w:tmpl w:val="81C4804A"/>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4296D5C"/>
    <w:multiLevelType w:val="multilevel"/>
    <w:tmpl w:val="94296D5C"/>
    <w:lvl w:ilvl="0" w:tentative="0">
      <w:start w:val="1"/>
      <w:numFmt w:val="decimal"/>
      <w:lvlText w:val="%1．"/>
      <w:lvlJc w:val="left"/>
      <w:pPr>
        <w:tabs>
          <w:tab w:val="left" w:pos="420"/>
        </w:tabs>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2">
    <w:nsid w:val="A69235A1"/>
    <w:multiLevelType w:val="singleLevel"/>
    <w:tmpl w:val="A69235A1"/>
    <w:lvl w:ilvl="0" w:tentative="0">
      <w:start w:val="1"/>
      <w:numFmt w:val="decimal"/>
      <w:lvlText w:val="（%1）"/>
      <w:lvlJc w:val="left"/>
      <w:pPr>
        <w:tabs>
          <w:tab w:val="left" w:pos="420"/>
        </w:tabs>
        <w:ind w:left="425" w:leftChars="0" w:hanging="425" w:firstLineChars="0"/>
      </w:pPr>
      <w:rPr>
        <w:rFonts w:hint="default"/>
      </w:rPr>
    </w:lvl>
  </w:abstractNum>
  <w:abstractNum w:abstractNumId="3">
    <w:nsid w:val="B04D8E0A"/>
    <w:multiLevelType w:val="multilevel"/>
    <w:tmpl w:val="B04D8E0A"/>
    <w:lvl w:ilvl="0" w:tentative="0">
      <w:start w:val="1"/>
      <w:numFmt w:val="chineseCounting"/>
      <w:pStyle w:val="6"/>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478"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b/>
        <w:bCs w:val="0"/>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D1FAFB38"/>
    <w:multiLevelType w:val="singleLevel"/>
    <w:tmpl w:val="D1FAFB38"/>
    <w:lvl w:ilvl="0" w:tentative="0">
      <w:start w:val="1"/>
      <w:numFmt w:val="decimal"/>
      <w:lvlText w:val="（%1）"/>
      <w:lvlJc w:val="left"/>
      <w:pPr>
        <w:tabs>
          <w:tab w:val="left" w:pos="420"/>
        </w:tabs>
        <w:ind w:left="425" w:leftChars="0" w:hanging="425" w:firstLineChars="0"/>
      </w:pPr>
      <w:rPr>
        <w:rFonts w:hint="default"/>
      </w:rPr>
    </w:lvl>
  </w:abstractNum>
  <w:abstractNum w:abstractNumId="5">
    <w:nsid w:val="DA0D0106"/>
    <w:multiLevelType w:val="singleLevel"/>
    <w:tmpl w:val="DA0D0106"/>
    <w:lvl w:ilvl="0" w:tentative="0">
      <w:start w:val="1"/>
      <w:numFmt w:val="decimal"/>
      <w:lvlText w:val="（%1）"/>
      <w:lvlJc w:val="left"/>
      <w:pPr>
        <w:tabs>
          <w:tab w:val="left" w:pos="420"/>
        </w:tabs>
        <w:ind w:left="425" w:leftChars="0" w:hanging="425" w:firstLineChars="0"/>
      </w:pPr>
      <w:rPr>
        <w:rFonts w:hint="default"/>
      </w:rPr>
    </w:lvl>
  </w:abstractNum>
  <w:abstractNum w:abstractNumId="6">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E58F1857"/>
    <w:multiLevelType w:val="multilevel"/>
    <w:tmpl w:val="E58F1857"/>
    <w:lvl w:ilvl="0" w:tentative="0">
      <w:start w:val="1"/>
      <w:numFmt w:val="decimal"/>
      <w:lvlText w:val="%1．"/>
      <w:lvlJc w:val="left"/>
      <w:pPr>
        <w:tabs>
          <w:tab w:val="left" w:pos="420"/>
        </w:tabs>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8">
    <w:nsid w:val="2369A67E"/>
    <w:multiLevelType w:val="multilevel"/>
    <w:tmpl w:val="2369A67E"/>
    <w:lvl w:ilvl="0" w:tentative="0">
      <w:start w:val="1"/>
      <w:numFmt w:val="decimal"/>
      <w:lvlText w:val="%1．"/>
      <w:lvlJc w:val="left"/>
      <w:pPr>
        <w:tabs>
          <w:tab w:val="left" w:pos="420"/>
        </w:tabs>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9">
    <w:nsid w:val="30C5821E"/>
    <w:multiLevelType w:val="multilevel"/>
    <w:tmpl w:val="30C5821E"/>
    <w:lvl w:ilvl="0" w:tentative="0">
      <w:start w:val="1"/>
      <w:numFmt w:val="decimal"/>
      <w:lvlText w:val="%1．"/>
      <w:lvlJc w:val="left"/>
      <w:pPr>
        <w:tabs>
          <w:tab w:val="left" w:pos="420"/>
        </w:tabs>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0">
    <w:nsid w:val="31A49E2A"/>
    <w:multiLevelType w:val="multilevel"/>
    <w:tmpl w:val="31A49E2A"/>
    <w:lvl w:ilvl="0" w:tentative="0">
      <w:start w:val="1"/>
      <w:numFmt w:val="decimal"/>
      <w:lvlText w:val="%1．"/>
      <w:lvlJc w:val="left"/>
      <w:pPr>
        <w:tabs>
          <w:tab w:val="left" w:pos="420"/>
        </w:tabs>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1">
    <w:nsid w:val="600FEC32"/>
    <w:multiLevelType w:val="multilevel"/>
    <w:tmpl w:val="600FEC32"/>
    <w:lvl w:ilvl="0" w:tentative="0">
      <w:start w:val="1"/>
      <w:numFmt w:val="decimal"/>
      <w:lvlText w:val="%1．"/>
      <w:lvlJc w:val="left"/>
      <w:pPr>
        <w:tabs>
          <w:tab w:val="left" w:pos="420"/>
        </w:tabs>
        <w:ind w:left="0" w:firstLine="400"/>
      </w:pPr>
      <w:rPr>
        <w:rFonts w:hint="default"/>
        <w:b w:val="0"/>
        <w:bCs w:val="0"/>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2">
    <w:nsid w:val="618EB49B"/>
    <w:multiLevelType w:val="singleLevel"/>
    <w:tmpl w:val="618EB49B"/>
    <w:lvl w:ilvl="0" w:tentative="0">
      <w:start w:val="4"/>
      <w:numFmt w:val="chineseCounting"/>
      <w:suff w:val="nothing"/>
      <w:lvlText w:val="%1、"/>
      <w:lvlJc w:val="left"/>
      <w:rPr>
        <w:rFonts w:hint="eastAsia"/>
      </w:rPr>
    </w:lvl>
  </w:abstractNum>
  <w:abstractNum w:abstractNumId="13">
    <w:nsid w:val="65AA542D"/>
    <w:multiLevelType w:val="singleLevel"/>
    <w:tmpl w:val="65AA542D"/>
    <w:lvl w:ilvl="0" w:tentative="0">
      <w:start w:val="1"/>
      <w:numFmt w:val="decimal"/>
      <w:suff w:val="nothing"/>
      <w:lvlText w:val="%1．"/>
      <w:lvlJc w:val="left"/>
      <w:pPr>
        <w:ind w:left="0" w:firstLine="400"/>
      </w:pPr>
      <w:rPr>
        <w:rFont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8"/>
  </w:num>
  <w:num w:numId="6">
    <w:abstractNumId w:val="10"/>
  </w:num>
  <w:num w:numId="7">
    <w:abstractNumId w:val="1"/>
  </w:num>
  <w:num w:numId="8">
    <w:abstractNumId w:val="12"/>
  </w:num>
  <w:num w:numId="9">
    <w:abstractNumId w:val="9"/>
  </w:num>
  <w:num w:numId="10">
    <w:abstractNumId w:val="7"/>
  </w:num>
  <w:num w:numId="11">
    <w:abstractNumId w:val="13"/>
  </w:num>
  <w:num w:numId="12">
    <w:abstractNumId w:val="4"/>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747CD"/>
    <w:rsid w:val="03A747CD"/>
    <w:rsid w:val="0B275F39"/>
    <w:rsid w:val="27027B2E"/>
    <w:rsid w:val="27961A17"/>
    <w:rsid w:val="345801D5"/>
    <w:rsid w:val="45196317"/>
    <w:rsid w:val="588B70D4"/>
    <w:rsid w:val="5EE44908"/>
    <w:rsid w:val="616D5404"/>
    <w:rsid w:val="7D43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宋体"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rPr>
  </w:style>
  <w:style w:type="paragraph" w:styleId="3">
    <w:name w:val="Normal (Web)"/>
    <w:basedOn w:val="1"/>
    <w:qFormat/>
    <w:uiPriority w:val="0"/>
    <w:rPr>
      <w:sz w:val="24"/>
    </w:rPr>
  </w:style>
  <w:style w:type="paragraph" w:customStyle="1" w:styleId="6">
    <w:name w:val="14、“第一章”一级标题"/>
    <w:basedOn w:val="7"/>
    <w:qFormat/>
    <w:uiPriority w:val="0"/>
    <w:pPr>
      <w:numPr>
        <w:ilvl w:val="0"/>
        <w:numId w:val="1"/>
      </w:numPr>
      <w:spacing w:before="50" w:beforeLines="50" w:after="50" w:afterLines="50" w:line="240" w:lineRule="auto"/>
      <w:jc w:val="center"/>
      <w:outlineLvl w:val="0"/>
    </w:pPr>
    <w:rPr>
      <w:b/>
      <w:sz w:val="36"/>
    </w:rPr>
  </w:style>
  <w:style w:type="paragraph" w:customStyle="1" w:styleId="7">
    <w:name w:val="01、普通正文"/>
    <w:basedOn w:val="1"/>
    <w:qFormat/>
    <w:uiPriority w:val="0"/>
    <w:pPr>
      <w:wordWrap w:val="0"/>
      <w:topLinePunct/>
    </w:pPr>
    <w:rPr>
      <w:snapToGrid w:val="0"/>
    </w:rPr>
  </w:style>
  <w:style w:type="paragraph" w:customStyle="1" w:styleId="8">
    <w:name w:val="Char"/>
    <w:basedOn w:val="1"/>
    <w:next w:val="1"/>
    <w:qFormat/>
    <w:uiPriority w:val="0"/>
    <w:pPr>
      <w:widowControl/>
      <w:spacing w:line="240" w:lineRule="exact"/>
    </w:pPr>
    <w:rPr>
      <w:rFonts w:ascii="Verdana" w:hAnsi="Verdana"/>
      <w:kern w:val="0"/>
      <w:sz w:val="20"/>
      <w:szCs w:val="20"/>
      <w:lang w:eastAsia="en-US"/>
    </w:rPr>
  </w:style>
  <w:style w:type="paragraph" w:customStyle="1" w:styleId="9">
    <w:name w:val="05、“(一)”正文三级标题"/>
    <w:basedOn w:val="1"/>
    <w:qFormat/>
    <w:uiPriority w:val="0"/>
    <w:pPr>
      <w:wordWrap w:val="0"/>
      <w:topLinePunct/>
      <w:ind w:firstLine="803" w:firstLineChars="200"/>
    </w:pPr>
  </w:style>
  <w:style w:type="paragraph" w:customStyle="1" w:styleId="1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1">
    <w:name w:val="03、“注：”正文(加粗，首行缩进2字符)"/>
    <w:basedOn w:val="7"/>
    <w:qFormat/>
    <w:uiPriority w:val="0"/>
    <w:pPr>
      <w:ind w:firstLine="480" w:firstLineChars="200"/>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707</Words>
  <Characters>783</Characters>
  <Lines>0</Lines>
  <Paragraphs>0</Paragraphs>
  <TotalTime>235</TotalTime>
  <ScaleCrop>false</ScaleCrop>
  <LinksUpToDate>false</LinksUpToDate>
  <CharactersWithSpaces>788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2026-05-28T08:03:00Z</dcterms:created>
  <dc:creator>武豪</dc:creator>
  <cp:lastModifiedBy>武豪</cp:lastModifiedBy>
  <dcterms:modified xsi:type="dcterms:W3CDTF">2026-06-25T08:07:07Z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1405FBAC4E674674864D09BECCCBA70B_11</vt:lpwstr>
  </property>
  <property fmtid="{D5CDD505-2E9C-101B-9397-08002B2CF9AE}" pid="4" name="KSOTemplateDocerSaveRecord">
    <vt:lpwstr>eyJoZGlkIjoiYTZhODkyNGVhYzI5NjMzZWYyNDA3MzMyZDZiOWU0NjkiLCJ1c2VySWQiOiIyNzQ5NTcwOTcifQ==</vt:lpwstr>
  </property>
</Properties>
</file>