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E39D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4</w:t>
      </w:r>
    </w:p>
    <w:p w14:paraId="75963A63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3A0CCB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关于成都武侯祠博物馆2026年度彩塑壁画保养维护项目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083BD90B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2694901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7B0CBAC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</w:rPr>
        <w:t>成都武侯祠博物馆2026年度彩塑壁画保养维护项目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价格调查的公告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9F709C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5527D09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4BE97DF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57B046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03E908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A1B500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D16E31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EF53F07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5AFF4607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p w14:paraId="7984B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C7522"/>
    <w:rsid w:val="3D4C7522"/>
    <w:rsid w:val="40E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301</Characters>
  <Lines>0</Lines>
  <Paragraphs>0</Paragraphs>
  <TotalTime>0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2026-06-10T08:18:00Z</dcterms:created>
  <dc:creator>Tsring</dc:creator>
  <cp:lastModifiedBy>Tsring</cp:lastModifiedBy>
  <dcterms:modified xsi:type="dcterms:W3CDTF">2026-06-22T07:07:39Z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9EAD73DC9512400EB033B3BA845CA23D_11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