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AEC58">
      <w:pPr>
        <w:numPr>
          <w:ilvl w:val="0"/>
          <w:numId w:val="0"/>
        </w:numP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附件1</w:t>
      </w:r>
    </w:p>
    <w:p w14:paraId="645A6D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锦里</w:t>
      </w:r>
      <w:r>
        <w:rPr>
          <w:rFonts w:hint="default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2026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年度保险服务项目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需求</w:t>
      </w:r>
    </w:p>
    <w:p w14:paraId="4E3F30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一、项目概况</w:t>
      </w:r>
    </w:p>
    <w:p w14:paraId="096811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项目名称：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锦里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年度保险服务项目</w:t>
      </w:r>
    </w:p>
    <w:p w14:paraId="18536C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项目地址：成都市武侯区武侯祠大街231号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号锦里文化旅游街区</w:t>
      </w:r>
    </w:p>
    <w:p w14:paraId="3B6B94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项目预算：9.6万元</w:t>
      </w:r>
    </w:p>
    <w:p w14:paraId="6B0B0E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项目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内容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：</w:t>
      </w:r>
      <w:bookmarkStart w:id="0" w:name="_GoBack"/>
      <w:bookmarkEnd w:id="0"/>
    </w:p>
    <w:p w14:paraId="37398790">
      <w:pPr>
        <w:pStyle w:val="4"/>
        <w:keepNext w:val="0"/>
        <w:keepLines w:val="0"/>
        <w:pageBreakBefore w:val="0"/>
        <w:widowControl w:val="0"/>
        <w:tabs>
          <w:tab w:val="left" w:pos="1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1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（1）公众责任险及相关附加险</w:t>
      </w:r>
    </w:p>
    <w:p w14:paraId="14CB6B54">
      <w:pPr>
        <w:pStyle w:val="4"/>
        <w:keepNext w:val="0"/>
        <w:keepLines w:val="0"/>
        <w:pageBreakBefore w:val="0"/>
        <w:widowControl w:val="0"/>
        <w:tabs>
          <w:tab w:val="left" w:pos="1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保险区域范围：成都武侯祠大街231号附1号锦里文化旅游街区全域及附从环境（公共基础配套设施、园林景观、湖泊水系、便民服务设施设备等）。场地面积约2万平方米，建筑面积约1.5万平方米，年游客量约1200万人。</w:t>
      </w:r>
    </w:p>
    <w:p w14:paraId="120D6050">
      <w:pPr>
        <w:pStyle w:val="4"/>
        <w:keepNext w:val="0"/>
        <w:keepLines w:val="0"/>
        <w:pageBreakBefore w:val="0"/>
        <w:widowControl w:val="0"/>
        <w:tabs>
          <w:tab w:val="left" w:pos="1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赔付要求：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累计赔偿限额为2000万元;每次事故赔偿限额为2000万元(其中财产损失赔偿限额为1000万元，人身伤亡赔偿限额为1000万元);每次事故每人死亡、伤残赔偿限额100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万元；</w:t>
      </w:r>
      <w:commentRangeStart w:id="0"/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每次事故每人医疗费用限额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20万元</w:t>
      </w:r>
      <w:commentRangeEnd w:id="0"/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commentReference w:id="0"/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全年无过失医疗费用、急救费用限额合计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10万元；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法律费用10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万元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。每</w:t>
      </w:r>
      <w:commentRangeStart w:id="1"/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次事故每人医疗费用绝对免赔</w:t>
      </w:r>
      <w:commentRangeEnd w:id="1"/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commentReference w:id="1"/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50元；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每次事故财产损失免赔300元。</w:t>
      </w:r>
    </w:p>
    <w:p w14:paraId="22A8ED1C">
      <w:pPr>
        <w:pStyle w:val="4"/>
        <w:keepNext w:val="0"/>
        <w:keepLines w:val="0"/>
        <w:pageBreakBefore w:val="0"/>
        <w:widowControl w:val="0"/>
        <w:tabs>
          <w:tab w:val="left" w:pos="1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1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（2）财产保险及相关附加险</w:t>
      </w:r>
    </w:p>
    <w:p w14:paraId="06C877B4">
      <w:pPr>
        <w:pStyle w:val="4"/>
        <w:keepNext w:val="0"/>
        <w:keepLines w:val="0"/>
        <w:pageBreakBefore w:val="0"/>
        <w:widowControl w:val="0"/>
        <w:tabs>
          <w:tab w:val="left" w:pos="1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锦里一、二期仿古建筑群（价值约3200万元）、锦里游客中心及二楼办公区公共财产（房屋装修款3.86万元、办公用品拟入固资产约1万元）、原锦里公司移交我馆资产（评估账面残值为2.399万元）、锦里大门口博物馆自持“成都礼物”店文创货品（价值约60万元）、街区监控室及相关防火设备设施（价值约200万元）、主要建筑维修及装修（价值约409.56万元）。</w:t>
      </w:r>
    </w:p>
    <w:p w14:paraId="2370D485">
      <w:pPr>
        <w:pStyle w:val="4"/>
        <w:keepNext w:val="0"/>
        <w:keepLines w:val="0"/>
        <w:pageBreakBefore w:val="0"/>
        <w:widowControl w:val="0"/>
        <w:tabs>
          <w:tab w:val="left" w:pos="1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赔付要求：财产总价值：3876.82万元，累计赔付限额3876.82万元，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每次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事故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最高赔付限额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2000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，火灾爆炸每次事故绝对免赔500元或损失金额的10%；其他事故绝对免赔200元或损失金额的10%，两者以高者为准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commentReference w:id="2"/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505A6CC7">
      <w:pPr>
        <w:pStyle w:val="4"/>
        <w:keepNext w:val="0"/>
        <w:keepLines w:val="0"/>
        <w:pageBreakBefore w:val="0"/>
        <w:widowControl w:val="0"/>
        <w:tabs>
          <w:tab w:val="left" w:pos="1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1"/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保险期限：以上保险期限为365天。</w:t>
      </w:r>
    </w:p>
    <w:p w14:paraId="10D35B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二、项目要求</w:t>
      </w:r>
    </w:p>
    <w:p w14:paraId="78030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供应商应符合参加本次询价活动应当具备的条件：</w:t>
      </w:r>
    </w:p>
    <w:p w14:paraId="2C935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(一)具有独立承担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instrText xml:space="preserve"> HYPERLINK "http://www.lawtime.cn/info/minfa/mszeren/" \t "_blank" </w:instrTex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民事责任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的能力；</w:t>
      </w:r>
    </w:p>
    <w:p w14:paraId="50022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(二)具有良好的商业信誉和健全的财务会计制度；</w:t>
      </w:r>
    </w:p>
    <w:p w14:paraId="3AC31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(三)具有履行合同所必需的设备和专业技术能力；</w:t>
      </w:r>
    </w:p>
    <w:p w14:paraId="79A9F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(四)有依法缴纳税收和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instrText xml:space="preserve"> HYPERLINK "http://www.lawtime.cn/info/laodong/shehuibaozhang/" \t "_blank" </w:instrTex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社会保障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资金的良好记录；</w:t>
      </w:r>
    </w:p>
    <w:p w14:paraId="4F207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(五)参加采购活动前三年内，在经营活动中没有重大违法记录；</w:t>
      </w:r>
    </w:p>
    <w:p w14:paraId="7C9BE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(六)法律、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instrText xml:space="preserve"> HYPERLINK "http://www.lawtime.cn/info/sifakaoshi/xingzhengfa/" \t "_blank" </w:instrTex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行政法</w:t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规规定的其他条件；</w:t>
      </w:r>
    </w:p>
    <w:p w14:paraId="36450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(七)供应商单位及其现任法定代表人/单位负责人、主要负责人不得具有行贿犯罪记录；</w:t>
      </w:r>
    </w:p>
    <w:p w14:paraId="4607B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(八)特定资格要求：</w:t>
      </w:r>
    </w:p>
    <w:p w14:paraId="737F3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1.具有行政主管部门颁发的有效的《经营保险业务许可证》或《保险许可证》；（描述：提供具有行政主管部门颁发的有效的《经营保险业务许可证》或《保险许可证》证书复印件并加盖供应商公章）</w:t>
      </w:r>
    </w:p>
    <w:p w14:paraId="39D4F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2.本项目允许总公司或其分公司或其分支机构参与本项目投标，但只能以一个供应商身份参与，若为分公司或分支机构参与投标应具有总公司出具的授权。（描述：本项目允许总公司或其分公司或其分支机构参与本项目投标，但只能以一个供应商身份参与，若为分公司或分支机构参与投标应具有总公司出具的授权。）</w:t>
      </w:r>
    </w:p>
    <w:p w14:paraId="5216D2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（九）本项目不允许联合体。</w:t>
      </w:r>
    </w:p>
    <w:p w14:paraId="128E4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eastAsia="方正仿宋_GB2312" w:cs="Times New Roman"/>
          <w:sz w:val="24"/>
          <w:szCs w:val="24"/>
        </w:rPr>
      </w:pPr>
      <w:r>
        <w:rPr>
          <w:rFonts w:hint="default" w:ascii="Times New Roman" w:hAnsi="Times New Roman" w:eastAsia="方正仿宋_GB2312" w:cs="Times New Roman"/>
          <w:sz w:val="24"/>
          <w:szCs w:val="24"/>
        </w:rPr>
        <w:t xml:space="preserve"> </w:t>
      </w:r>
    </w:p>
    <w:p w14:paraId="49D04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line="240" w:lineRule="auto"/>
        <w:ind w:firstLine="480" w:firstLineChars="200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24"/>
          <w:szCs w:val="24"/>
          <w:lang w:eastAsia="zh-CN"/>
        </w:rPr>
      </w:pPr>
    </w:p>
    <w:p w14:paraId="19350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line="240" w:lineRule="auto"/>
        <w:ind w:firstLine="48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  <w:t>注：邀请比价中出现下列情形之一的，参照财政部《关于推动解决政府采购异常低价问题的通知》（财库〔2026〕2号），启动异常低价报价审查程序：</w:t>
      </w:r>
    </w:p>
    <w:p w14:paraId="5D6C9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line="240" w:lineRule="auto"/>
        <w:ind w:firstLine="48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  <w:t>1.报价低于全部通过符合性审查供应商报价平均值50%的，即报价&lt;全部通过符合性审查供应商报价平均值×50%；</w:t>
      </w:r>
    </w:p>
    <w:p w14:paraId="00755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line="240" w:lineRule="auto"/>
        <w:ind w:firstLine="480" w:firstLineChars="200"/>
        <w:textAlignment w:val="auto"/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  <w:t>2.报价低于通过符合性审查的次低报价供应商报价50%的，即报价&lt;通过符合性审查的次低报价供应商报价×50%；</w:t>
      </w:r>
    </w:p>
    <w:p w14:paraId="00E49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50" w:line="240" w:lineRule="auto"/>
        <w:ind w:firstLine="480" w:firstLineChars="200"/>
        <w:textAlignment w:val="auto"/>
        <w:rPr>
          <w:rFonts w:hint="default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  <w:t>3.报价低于采购项目最高限价45%的，即报价&lt;采购项目最高限价×45%。</w:t>
      </w:r>
    </w:p>
    <w:p w14:paraId="344EE838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郑力" w:date="2026-05-29T15:58:14Z" w:initials="">
    <w:p w14:paraId="76BFE3D4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市场各保险主体该项通常为10万元，建议最高不超过20万元</w:t>
      </w:r>
    </w:p>
  </w:comment>
  <w:comment w:id="1" w:author="郑力" w:date="2026-05-29T15:58:54Z" w:initials="">
    <w:p w14:paraId="28E5E49E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此项建议修改为绝对免赔50元</w:t>
      </w:r>
    </w:p>
  </w:comment>
  <w:comment w:id="2" w:author="郑力" w:date="2026-05-29T16:01:39Z" w:initials="">
    <w:p w14:paraId="62EE6023">
      <w:pPr>
        <w:pStyle w:val="3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建议修改为火灾爆炸每次事故绝对免赔500元或损失金额的10%，其他事故绝对免赔200元或损失金额的10%，两者以高者为准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6BFE3D4" w15:done="0"/>
  <w15:commentEx w15:paraId="28E5E49E" w15:done="0"/>
  <w15:commentEx w15:paraId="62EE602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YaHei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AD03B1"/>
    <w:multiLevelType w:val="singleLevel"/>
    <w:tmpl w:val="B0AD03B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郑力">
    <w15:presenceInfo w15:providerId="WPS Office" w15:userId="2091428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710EA"/>
    <w:rsid w:val="023D320D"/>
    <w:rsid w:val="0CF134BB"/>
    <w:rsid w:val="12F9465F"/>
    <w:rsid w:val="18B82931"/>
    <w:rsid w:val="1CB710EA"/>
    <w:rsid w:val="25BD5822"/>
    <w:rsid w:val="288E79DA"/>
    <w:rsid w:val="29036AF9"/>
    <w:rsid w:val="2DF420D3"/>
    <w:rsid w:val="4C050469"/>
    <w:rsid w:val="5302663C"/>
    <w:rsid w:val="56744C8D"/>
    <w:rsid w:val="5B7C388E"/>
    <w:rsid w:val="66DD5F97"/>
    <w:rsid w:val="6E0C6AE1"/>
    <w:rsid w:val="71231747"/>
    <w:rsid w:val="742006BC"/>
    <w:rsid w:val="7527109A"/>
    <w:rsid w:val="79554E68"/>
    <w:rsid w:val="7F72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华文新魏" w:hAnsi="Arial" w:eastAsia="华文新魏" w:cs="Times New Roman"/>
      <w:sz w:val="24"/>
      <w:szCs w:val="24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1263</Words>
  <Characters>1367</Characters>
  <Lines>0</Lines>
  <Paragraphs>0</Paragraphs>
  <TotalTime>1</TotalTime>
  <ScaleCrop>false</ScaleCrop>
  <LinksUpToDate>false</LinksUpToDate>
  <CharactersWithSpaces>1368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2026-03-12T02:35:00Z</dcterms:created>
  <dc:creator>WPS_1658108234</dc:creator>
  <cp:lastModifiedBy>姜果</cp:lastModifiedBy>
  <dcterms:modified xsi:type="dcterms:W3CDTF">2026-06-12T07:32:35Z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8615A24A73B84EA2A087DF7683F71D76_13</vt:lpwstr>
  </property>
  <property fmtid="{D5CDD505-2E9C-101B-9397-08002B2CF9AE}" pid="4" name="KSOTemplateDocerSaveRecord">
    <vt:lpwstr>eyJoZGlkIjoiMzI5MWZjN2E4NjNiOTc1MzJmMmUzMzI1NTFlYzljMmQiLCJ1c2VySWQiOiIyMzc1MDI4MjQifQ==</vt:lpwstr>
  </property>
</Properties>
</file>