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E3486A">
      <w:pPr>
        <w:spacing w:line="580" w:lineRule="exact"/>
        <w:jc w:val="left"/>
        <w:rPr>
          <w:rFonts w:ascii="Times New Roman" w:hAnsi="Times New Roman" w:eastAsia="方正仿宋_GBK" w:cs="Times New Roman"/>
          <w:b/>
          <w:sz w:val="32"/>
          <w:szCs w:val="32"/>
        </w:rPr>
      </w:pPr>
      <w:r>
        <w:rPr>
          <w:rFonts w:ascii="Times New Roman" w:hAnsi="Times New Roman" w:eastAsia="方正仿宋_GBK" w:cs="Times New Roman"/>
          <w:b/>
          <w:sz w:val="32"/>
          <w:szCs w:val="32"/>
        </w:rPr>
        <w:t>附件1</w:t>
      </w:r>
      <w:r>
        <w:rPr>
          <w:rFonts w:hint="eastAsia" w:ascii="Times New Roman" w:hAnsi="Times New Roman" w:eastAsia="方正仿宋_GBK" w:cs="Times New Roman"/>
          <w:b/>
          <w:sz w:val="32"/>
          <w:szCs w:val="32"/>
          <w:lang w:val="en-US" w:eastAsia="zh-CN"/>
        </w:rPr>
        <w:t xml:space="preserve">                    </w:t>
      </w:r>
      <w:r>
        <w:rPr>
          <w:rFonts w:ascii="Times New Roman" w:hAnsi="Times New Roman" w:eastAsia="方正仿宋_GBK" w:cs="Times New Roman"/>
          <w:b/>
          <w:sz w:val="32"/>
          <w:szCs w:val="32"/>
        </w:rPr>
        <w:t>采购需求</w:t>
      </w:r>
    </w:p>
    <w:tbl>
      <w:tblPr>
        <w:tblStyle w:val="7"/>
        <w:tblW w:w="10207"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8647"/>
      </w:tblGrid>
      <w:tr w14:paraId="02D7E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14:paraId="7EE56672">
            <w:pPr>
              <w:pStyle w:val="5"/>
              <w:spacing w:line="580" w:lineRule="exact"/>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8647" w:type="dxa"/>
          </w:tcPr>
          <w:p w14:paraId="58884122">
            <w:pPr>
              <w:pStyle w:val="5"/>
              <w:spacing w:line="580" w:lineRule="exact"/>
              <w:ind w:firstLine="0" w:firstLineChars="0"/>
              <w:jc w:val="center"/>
              <w:rPr>
                <w:rFonts w:hint="eastAsia" w:ascii="宋体" w:hAnsi="宋体" w:eastAsia="宋体" w:cs="宋体"/>
                <w:b/>
                <w:bCs w:val="0"/>
                <w:kern w:val="0"/>
                <w:sz w:val="24"/>
                <w:szCs w:val="24"/>
                <w:lang w:val="en-US" w:eastAsia="zh-CN"/>
              </w:rPr>
            </w:pPr>
            <w:r>
              <w:rPr>
                <w:rFonts w:hint="eastAsia" w:ascii="宋体" w:hAnsi="宋体" w:eastAsia="宋体" w:cs="宋体"/>
                <w:bCs/>
                <w:color w:val="auto"/>
                <w:kern w:val="0"/>
                <w:sz w:val="24"/>
                <w:szCs w:val="24"/>
                <w:lang w:val="en-US" w:eastAsia="zh-CN"/>
              </w:rPr>
              <w:t>成都武侯祠博物馆匾额楹联检查维护项目</w:t>
            </w:r>
          </w:p>
        </w:tc>
      </w:tr>
      <w:tr w14:paraId="6C929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14:paraId="304CF8D6">
            <w:pPr>
              <w:pStyle w:val="5"/>
              <w:spacing w:line="580" w:lineRule="exact"/>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服务期限</w:t>
            </w:r>
          </w:p>
        </w:tc>
        <w:tc>
          <w:tcPr>
            <w:tcW w:w="8647" w:type="dxa"/>
          </w:tcPr>
          <w:p w14:paraId="13F301A3">
            <w:pPr>
              <w:pStyle w:val="5"/>
              <w:spacing w:line="580" w:lineRule="exact"/>
              <w:ind w:firstLine="0" w:firstLineChars="0"/>
              <w:jc w:val="center"/>
              <w:rPr>
                <w:rFonts w:hint="default" w:ascii="宋体" w:hAnsi="宋体" w:eastAsia="宋体" w:cs="宋体"/>
                <w:color w:val="auto"/>
                <w:sz w:val="24"/>
                <w:szCs w:val="24"/>
                <w:lang w:val="en-US" w:eastAsia="zh-CN"/>
              </w:rPr>
            </w:pPr>
            <w:r>
              <w:rPr>
                <w:rFonts w:hint="eastAsia" w:hAnsi="宋体" w:cs="宋体"/>
                <w:bCs/>
                <w:color w:val="auto"/>
                <w:kern w:val="0"/>
                <w:sz w:val="24"/>
                <w:szCs w:val="24"/>
                <w:lang w:val="en-US" w:eastAsia="zh-CN"/>
              </w:rPr>
              <w:t>自合同签订之日起一年</w:t>
            </w:r>
          </w:p>
        </w:tc>
      </w:tr>
      <w:tr w14:paraId="2D7F3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1560" w:type="dxa"/>
          </w:tcPr>
          <w:p w14:paraId="4EBE1500">
            <w:pPr>
              <w:pStyle w:val="5"/>
              <w:spacing w:line="580" w:lineRule="exact"/>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项目需求</w:t>
            </w:r>
          </w:p>
        </w:tc>
        <w:tc>
          <w:tcPr>
            <w:tcW w:w="8647" w:type="dxa"/>
          </w:tcPr>
          <w:p w14:paraId="7C34A493">
            <w:pPr>
              <w:spacing w:line="580" w:lineRule="exact"/>
              <w:jc w:val="left"/>
              <w:rPr>
                <w:rFonts w:hint="eastAsia" w:ascii="宋体" w:hAnsi="宋体" w:eastAsia="宋体" w:cs="宋体"/>
                <w:b/>
                <w:bCs w:val="0"/>
                <w:kern w:val="0"/>
                <w:sz w:val="24"/>
                <w:szCs w:val="24"/>
                <w:lang w:val="zh-TW" w:eastAsia="zh-TW"/>
              </w:rPr>
            </w:pPr>
            <w:bookmarkStart w:id="0" w:name="OLE_LINK2"/>
            <w:bookmarkStart w:id="1" w:name="OLE_LINK1"/>
            <w:bookmarkStart w:id="2" w:name="OLE_LINK3"/>
            <w:r>
              <w:rPr>
                <w:rFonts w:hint="eastAsia" w:ascii="宋体" w:hAnsi="宋体" w:eastAsia="宋体" w:cs="宋体"/>
                <w:b/>
                <w:bCs w:val="0"/>
                <w:kern w:val="0"/>
                <w:sz w:val="24"/>
                <w:szCs w:val="24"/>
              </w:rPr>
              <w:t>一、项目</w:t>
            </w:r>
            <w:r>
              <w:rPr>
                <w:rFonts w:hint="eastAsia" w:ascii="宋体" w:hAnsi="宋体" w:eastAsia="宋体" w:cs="宋体"/>
                <w:b/>
                <w:bCs w:val="0"/>
                <w:kern w:val="0"/>
                <w:sz w:val="24"/>
                <w:szCs w:val="24"/>
                <w:lang w:val="zh-TW"/>
              </w:rPr>
              <w:t>概况</w:t>
            </w:r>
          </w:p>
          <w:p w14:paraId="49FE23B2">
            <w:pPr>
              <w:widowControl/>
              <w:numPr>
                <w:ilvl w:val="255"/>
                <w:numId w:val="0"/>
              </w:numPr>
              <w:spacing w:line="580" w:lineRule="exact"/>
              <w:ind w:firstLine="480" w:firstLineChars="200"/>
              <w:jc w:val="left"/>
              <w:outlineLvl w:val="1"/>
              <w:rPr>
                <w:rFonts w:hint="eastAsia" w:ascii="宋体" w:hAnsi="宋体" w:eastAsia="宋体" w:cs="宋体"/>
                <w:color w:val="auto"/>
                <w:kern w:val="2"/>
                <w:sz w:val="24"/>
                <w:szCs w:val="24"/>
                <w:lang w:val="zh-TW" w:eastAsia="zh-CN" w:bidi="ar-SA"/>
              </w:rPr>
            </w:pPr>
            <w:bookmarkStart w:id="3" w:name="_Toc21755"/>
            <w:r>
              <w:rPr>
                <w:rFonts w:hint="eastAsia" w:ascii="宋体" w:hAnsi="宋体" w:eastAsia="宋体" w:cs="宋体"/>
                <w:color w:val="auto"/>
                <w:kern w:val="2"/>
                <w:sz w:val="24"/>
                <w:szCs w:val="24"/>
                <w:lang w:val="zh-TW" w:eastAsia="zh-CN" w:bidi="ar-SA"/>
              </w:rPr>
              <w:t>为保障</w:t>
            </w:r>
            <w:r>
              <w:rPr>
                <w:rFonts w:hint="eastAsia" w:ascii="宋体" w:hAnsi="宋体" w:cs="宋体"/>
                <w:color w:val="auto"/>
                <w:kern w:val="2"/>
                <w:sz w:val="24"/>
                <w:szCs w:val="24"/>
                <w:lang w:val="en-US" w:eastAsia="zh-CN" w:bidi="ar-SA"/>
              </w:rPr>
              <w:t>成都武侯祠博物馆</w:t>
            </w:r>
            <w:r>
              <w:rPr>
                <w:rFonts w:hint="eastAsia" w:ascii="宋体" w:hAnsi="宋体" w:eastAsia="宋体" w:cs="宋体"/>
                <w:color w:val="auto"/>
                <w:kern w:val="2"/>
                <w:sz w:val="24"/>
                <w:szCs w:val="24"/>
                <w:lang w:val="zh-TW" w:eastAsia="zh-CN" w:bidi="ar-SA"/>
              </w:rPr>
              <w:t>古建筑的安全与完整，我馆拟对馆内木制匾额楹联进行稳定性检查，并对匾额楹联松动、腐朽的固定</w:t>
            </w:r>
            <w:r>
              <w:rPr>
                <w:rFonts w:hint="eastAsia" w:ascii="宋体" w:hAnsi="宋体" w:cs="宋体"/>
                <w:color w:val="auto"/>
                <w:kern w:val="2"/>
                <w:sz w:val="24"/>
                <w:szCs w:val="24"/>
                <w:lang w:val="zh-TW" w:eastAsia="zh-CN" w:bidi="ar-SA"/>
              </w:rPr>
              <w:t>构件</w:t>
            </w:r>
            <w:r>
              <w:rPr>
                <w:rFonts w:hint="eastAsia" w:ascii="宋体" w:hAnsi="宋体" w:eastAsia="宋体" w:cs="宋体"/>
                <w:color w:val="auto"/>
                <w:kern w:val="2"/>
                <w:sz w:val="24"/>
                <w:szCs w:val="24"/>
                <w:lang w:val="zh-TW" w:eastAsia="zh-CN" w:bidi="ar-SA"/>
              </w:rPr>
              <w:t>进行加固和更换。</w:t>
            </w:r>
          </w:p>
          <w:p w14:paraId="2D95F890">
            <w:pPr>
              <w:widowControl/>
              <w:numPr>
                <w:ilvl w:val="0"/>
                <w:numId w:val="1"/>
              </w:numPr>
              <w:spacing w:line="580" w:lineRule="exact"/>
              <w:jc w:val="left"/>
              <w:outlineLvl w:val="1"/>
              <w:rPr>
                <w:rFonts w:hint="default" w:ascii="宋体" w:hAnsi="宋体" w:eastAsia="宋体" w:cs="宋体"/>
                <w:b/>
                <w:bCs w:val="0"/>
                <w:kern w:val="44"/>
                <w:sz w:val="24"/>
                <w:szCs w:val="24"/>
                <w:lang w:val="en-US" w:eastAsia="zh-CN"/>
              </w:rPr>
            </w:pPr>
            <w:r>
              <w:rPr>
                <w:rFonts w:hint="eastAsia" w:ascii="宋体" w:hAnsi="宋体" w:eastAsia="宋体" w:cs="宋体"/>
                <w:b/>
                <w:bCs w:val="0"/>
                <w:kern w:val="44"/>
                <w:sz w:val="24"/>
                <w:szCs w:val="24"/>
              </w:rPr>
              <w:t>服务内容</w:t>
            </w:r>
            <w:bookmarkEnd w:id="3"/>
          </w:p>
          <w:p w14:paraId="29265C0D">
            <w:pPr>
              <w:pStyle w:val="10"/>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0"/>
              <w:jc w:val="both"/>
              <w:textAlignment w:val="auto"/>
              <w:rPr>
                <w:rFonts w:hint="default"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zh-TW" w:eastAsia="zh-CN" w:bidi="ar-SA"/>
              </w:rPr>
              <w:t>（一）</w:t>
            </w:r>
            <w:r>
              <w:rPr>
                <w:rFonts w:hint="eastAsia" w:ascii="宋体" w:hAnsi="宋体" w:cs="宋体"/>
                <w:b/>
                <w:bCs/>
                <w:color w:val="auto"/>
                <w:kern w:val="2"/>
                <w:sz w:val="24"/>
                <w:szCs w:val="24"/>
                <w:lang w:val="en-US" w:eastAsia="zh-CN" w:bidi="ar-SA"/>
              </w:rPr>
              <w:t>检查匾额楹联稳定性</w:t>
            </w:r>
          </w:p>
          <w:p w14:paraId="074C6FF7">
            <w:pPr>
              <w:pStyle w:val="10"/>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0"/>
              <w:jc w:val="both"/>
              <w:textAlignment w:val="auto"/>
              <w:rPr>
                <w:rFonts w:hint="eastAsia" w:ascii="仿宋" w:hAnsi="仿宋" w:eastAsia="仿宋" w:cs="仿宋"/>
                <w:sz w:val="30"/>
                <w:szCs w:val="30"/>
                <w:lang w:val="en-US" w:eastAsia="zh-CN"/>
              </w:rPr>
            </w:pPr>
            <w:r>
              <w:rPr>
                <w:rFonts w:hint="eastAsia" w:ascii="宋体" w:hAnsi="宋体" w:eastAsia="宋体" w:cs="宋体"/>
                <w:color w:val="auto"/>
                <w:kern w:val="2"/>
                <w:sz w:val="24"/>
                <w:szCs w:val="24"/>
                <w:lang w:val="en-US" w:eastAsia="zh-CN" w:bidi="ar-SA"/>
              </w:rPr>
              <w:t>对大约</w:t>
            </w:r>
            <w:r>
              <w:rPr>
                <w:rFonts w:hint="eastAsia" w:ascii="宋体" w:hAnsi="宋体" w:cs="宋体"/>
                <w:color w:val="auto"/>
                <w:kern w:val="2"/>
                <w:sz w:val="24"/>
                <w:szCs w:val="24"/>
                <w:lang w:val="en-US" w:eastAsia="zh-CN" w:bidi="ar-SA"/>
              </w:rPr>
              <w:t>55</w:t>
            </w:r>
            <w:r>
              <w:rPr>
                <w:rFonts w:hint="eastAsia" w:ascii="宋体" w:hAnsi="宋体" w:eastAsia="宋体" w:cs="宋体"/>
                <w:color w:val="auto"/>
                <w:kern w:val="2"/>
                <w:sz w:val="24"/>
                <w:szCs w:val="24"/>
                <w:lang w:val="en-US" w:eastAsia="zh-CN" w:bidi="ar-SA"/>
              </w:rPr>
              <w:t>（件/对）匾额楹联进行全面检查，采用专业检测工具和方法，判断匾额楹联的固定状况，包括但不限于检查匾额楹联与墙体、支架等连接部位的牢固程度；</w:t>
            </w:r>
          </w:p>
          <w:p w14:paraId="261F71A6">
            <w:pPr>
              <w:pStyle w:val="10"/>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0"/>
              <w:jc w:val="both"/>
              <w:textAlignment w:val="auto"/>
              <w:rPr>
                <w:rFonts w:hint="default"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zh-TW" w:eastAsia="zh-CN" w:bidi="ar-SA"/>
              </w:rPr>
              <w:t>（</w:t>
            </w:r>
            <w:r>
              <w:rPr>
                <w:rFonts w:hint="eastAsia" w:ascii="宋体" w:hAnsi="宋体" w:eastAsia="宋体" w:cs="宋体"/>
                <w:b/>
                <w:bCs/>
                <w:color w:val="auto"/>
                <w:kern w:val="2"/>
                <w:sz w:val="24"/>
                <w:szCs w:val="24"/>
                <w:lang w:val="en-US" w:eastAsia="zh-CN" w:bidi="ar-SA"/>
              </w:rPr>
              <w:t>二</w:t>
            </w:r>
            <w:r>
              <w:rPr>
                <w:rFonts w:hint="eastAsia" w:ascii="宋体" w:hAnsi="宋体" w:eastAsia="宋体" w:cs="宋体"/>
                <w:b/>
                <w:bCs/>
                <w:color w:val="auto"/>
                <w:kern w:val="2"/>
                <w:sz w:val="24"/>
                <w:szCs w:val="24"/>
                <w:lang w:val="zh-TW" w:eastAsia="zh-CN" w:bidi="ar-SA"/>
              </w:rPr>
              <w:t>）</w:t>
            </w:r>
            <w:r>
              <w:rPr>
                <w:rFonts w:hint="eastAsia" w:ascii="宋体" w:hAnsi="宋体" w:eastAsia="宋体" w:cs="宋体"/>
                <w:b/>
                <w:bCs/>
                <w:color w:val="auto"/>
                <w:kern w:val="2"/>
                <w:sz w:val="24"/>
                <w:szCs w:val="24"/>
                <w:lang w:val="en-US" w:eastAsia="zh-CN" w:bidi="ar-SA"/>
              </w:rPr>
              <w:t>加固或更换构件</w:t>
            </w:r>
          </w:p>
          <w:p w14:paraId="64BF0B5A">
            <w:pPr>
              <w:pStyle w:val="10"/>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0"/>
              <w:jc w:val="both"/>
              <w:textAlignment w:val="auto"/>
              <w:rPr>
                <w:rFonts w:hint="eastAsia" w:ascii="宋体" w:hAnsi="宋体" w:eastAsia="宋体" w:cs="宋体"/>
                <w:b/>
                <w:bCs/>
                <w:color w:val="auto"/>
                <w:kern w:val="2"/>
                <w:sz w:val="24"/>
                <w:szCs w:val="24"/>
                <w:lang w:val="zh-TW" w:eastAsia="zh-CN" w:bidi="ar-SA"/>
              </w:rPr>
            </w:pPr>
            <w:r>
              <w:rPr>
                <w:rFonts w:hint="eastAsia" w:ascii="宋体" w:hAnsi="宋体" w:eastAsia="宋体" w:cs="宋体"/>
                <w:color w:val="auto"/>
                <w:kern w:val="2"/>
                <w:sz w:val="24"/>
                <w:szCs w:val="24"/>
                <w:lang w:val="en-US" w:eastAsia="zh-CN" w:bidi="ar-SA"/>
              </w:rPr>
              <w:t>对检查中发现的松动匾额楹联，采取有效的加固措施，确保其稳固；对腐朽的固定构件及时进行更换，更换的构件需保证古建筑的整体风貌不受影响。</w:t>
            </w:r>
          </w:p>
          <w:p w14:paraId="0D47B0CF">
            <w:pPr>
              <w:pStyle w:val="10"/>
              <w:keepNext w:val="0"/>
              <w:keepLines w:val="0"/>
              <w:pageBreakBefore w:val="0"/>
              <w:numPr>
                <w:ilvl w:val="0"/>
                <w:numId w:val="2"/>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服务质量要求</w:t>
            </w:r>
          </w:p>
          <w:p w14:paraId="795D2D5E">
            <w:pPr>
              <w:pStyle w:val="10"/>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420" w:firstLineChars="0"/>
              <w:jc w:val="both"/>
              <w:textAlignment w:val="auto"/>
              <w:rPr>
                <w:rFonts w:hint="eastAsia" w:ascii="宋体" w:hAnsi="宋体" w:eastAsia="宋体" w:cs="宋体"/>
                <w:b/>
                <w:bCs/>
                <w:color w:val="auto"/>
                <w:kern w:val="2"/>
                <w:sz w:val="24"/>
                <w:szCs w:val="24"/>
                <w:lang w:val="en-US" w:eastAsia="zh-CN" w:bidi="ar-SA"/>
              </w:rPr>
            </w:pPr>
            <w:r>
              <w:rPr>
                <w:rFonts w:hint="eastAsia" w:ascii="宋体" w:hAnsi="宋体" w:cs="宋体"/>
                <w:b/>
                <w:bCs/>
                <w:color w:val="auto"/>
                <w:kern w:val="2"/>
                <w:sz w:val="24"/>
                <w:szCs w:val="24"/>
                <w:lang w:val="en-US" w:eastAsia="zh-CN" w:bidi="ar-SA"/>
              </w:rPr>
              <w:t>检查次数</w:t>
            </w:r>
          </w:p>
          <w:p w14:paraId="6A9BD2DA">
            <w:pPr>
              <w:pStyle w:val="10"/>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0"/>
              <w:jc w:val="both"/>
              <w:textAlignment w:val="auto"/>
              <w:rPr>
                <w:rFonts w:hint="default" w:ascii="宋体" w:hAnsi="宋体" w:eastAsia="宋体" w:cs="宋体"/>
                <w:b/>
                <w:bCs/>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服务期限内需进行三次检查及更换</w:t>
            </w:r>
            <w:r>
              <w:rPr>
                <w:rFonts w:hint="eastAsia" w:ascii="宋体" w:hAnsi="宋体" w:cs="宋体"/>
                <w:color w:val="auto"/>
                <w:kern w:val="2"/>
                <w:sz w:val="24"/>
                <w:szCs w:val="24"/>
                <w:lang w:val="en-US" w:eastAsia="zh-CN" w:bidi="ar-SA"/>
              </w:rPr>
              <w:t>工作。</w:t>
            </w:r>
          </w:p>
          <w:p w14:paraId="43E37237">
            <w:pPr>
              <w:pStyle w:val="10"/>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420" w:firstLineChars="0"/>
              <w:jc w:val="both"/>
              <w:textAlignment w:val="auto"/>
              <w:rPr>
                <w:rFonts w:hint="eastAsia" w:ascii="宋体" w:hAnsi="宋体" w:eastAsia="宋体" w:cs="宋体"/>
                <w:b/>
                <w:bCs/>
                <w:color w:val="auto"/>
                <w:kern w:val="2"/>
                <w:sz w:val="24"/>
                <w:szCs w:val="24"/>
                <w:lang w:val="en-US" w:eastAsia="zh-CN" w:bidi="ar-SA"/>
              </w:rPr>
            </w:pPr>
            <w:r>
              <w:rPr>
                <w:rFonts w:hint="eastAsia" w:ascii="宋体" w:hAnsi="宋体" w:cs="宋体"/>
                <w:b/>
                <w:bCs/>
                <w:color w:val="auto"/>
                <w:kern w:val="2"/>
                <w:sz w:val="24"/>
                <w:szCs w:val="24"/>
                <w:lang w:val="en-US" w:eastAsia="zh-CN" w:bidi="ar-SA"/>
              </w:rPr>
              <w:t>服务要求</w:t>
            </w:r>
          </w:p>
          <w:p w14:paraId="393BF01F">
            <w:pPr>
              <w:pStyle w:val="10"/>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0"/>
              <w:jc w:val="both"/>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所使用的加固材料和更换构件的材料必须符合相关国家标准和规范，具有良好的耐久性和稳定性。</w:t>
            </w:r>
          </w:p>
          <w:p w14:paraId="0968ACE6">
            <w:pPr>
              <w:pStyle w:val="10"/>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420" w:firstLineChars="0"/>
              <w:jc w:val="both"/>
              <w:textAlignment w:val="auto"/>
              <w:rPr>
                <w:rFonts w:hint="eastAsia" w:ascii="宋体" w:hAnsi="宋体" w:eastAsia="宋体" w:cs="宋体"/>
                <w:b/>
                <w:bCs/>
                <w:color w:val="auto"/>
                <w:kern w:val="2"/>
                <w:sz w:val="24"/>
                <w:szCs w:val="24"/>
                <w:lang w:val="en-US" w:eastAsia="zh-CN" w:bidi="ar-SA"/>
              </w:rPr>
            </w:pPr>
            <w:r>
              <w:rPr>
                <w:rFonts w:hint="eastAsia" w:ascii="宋体" w:hAnsi="宋体" w:cs="宋体"/>
                <w:b/>
                <w:bCs/>
                <w:color w:val="auto"/>
                <w:kern w:val="2"/>
                <w:sz w:val="24"/>
                <w:szCs w:val="24"/>
                <w:lang w:val="en-US" w:eastAsia="zh-CN" w:bidi="ar-SA"/>
              </w:rPr>
              <w:t>人员要求</w:t>
            </w:r>
          </w:p>
          <w:p w14:paraId="67A6E418">
            <w:pPr>
              <w:pStyle w:val="10"/>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0"/>
              <w:jc w:val="both"/>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因部分匾额位置较高，需负责匾额部分检查及构件更换的工作人员具备高空作业证等相关操作证件。</w:t>
            </w:r>
            <w:bookmarkStart w:id="4" w:name="_GoBack"/>
            <w:bookmarkEnd w:id="4"/>
          </w:p>
          <w:bookmarkEnd w:id="0"/>
          <w:bookmarkEnd w:id="1"/>
          <w:bookmarkEnd w:id="2"/>
          <w:p w14:paraId="79BC8DF0">
            <w:pPr>
              <w:pStyle w:val="10"/>
              <w:keepNext w:val="0"/>
              <w:keepLines w:val="0"/>
              <w:pageBreakBefore w:val="0"/>
              <w:numPr>
                <w:ilvl w:val="0"/>
                <w:numId w:val="2"/>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其他事项</w:t>
            </w:r>
          </w:p>
          <w:p w14:paraId="33B971C2">
            <w:pPr>
              <w:pStyle w:val="10"/>
              <w:keepNext w:val="0"/>
              <w:keepLines w:val="0"/>
              <w:pageBreakBefore w:val="0"/>
              <w:numPr>
                <w:ilvl w:val="0"/>
                <w:numId w:val="0"/>
              </w:numPr>
              <w:kinsoku/>
              <w:wordWrap/>
              <w:overflowPunct/>
              <w:topLinePunct w:val="0"/>
              <w:autoSpaceDE/>
              <w:autoSpaceDN/>
              <w:bidi w:val="0"/>
              <w:adjustRightInd/>
              <w:snapToGrid/>
              <w:spacing w:line="360" w:lineRule="auto"/>
              <w:ind w:left="420" w:leftChars="0"/>
              <w:jc w:val="both"/>
              <w:textAlignment w:val="auto"/>
              <w:rPr>
                <w:rFonts w:hint="default" w:ascii="宋体" w:hAnsi="宋体" w:eastAsia="宋体" w:cs="宋体"/>
                <w:b/>
                <w:bCs/>
                <w:color w:val="auto"/>
                <w:kern w:val="2"/>
                <w:sz w:val="24"/>
                <w:szCs w:val="24"/>
                <w:lang w:val="en-US" w:eastAsia="zh-CN" w:bidi="ar-SA"/>
              </w:rPr>
            </w:pPr>
            <w:r>
              <w:rPr>
                <w:rFonts w:hint="default" w:ascii="宋体" w:hAnsi="宋体" w:eastAsia="宋体" w:cs="宋体"/>
                <w:b/>
                <w:bCs/>
                <w:color w:val="auto"/>
                <w:kern w:val="2"/>
                <w:sz w:val="24"/>
                <w:szCs w:val="24"/>
                <w:lang w:val="en-US" w:eastAsia="zh-CN" w:bidi="ar-SA"/>
              </w:rPr>
              <w:t>（一）供应商应当参考类似项目按照成本价加合理利润原则合理报价。</w:t>
            </w:r>
          </w:p>
          <w:p w14:paraId="2A26F735">
            <w:pPr>
              <w:pStyle w:val="10"/>
              <w:keepNext w:val="0"/>
              <w:keepLines w:val="0"/>
              <w:pageBreakBefore w:val="0"/>
              <w:numPr>
                <w:ilvl w:val="0"/>
                <w:numId w:val="0"/>
              </w:numPr>
              <w:kinsoku/>
              <w:wordWrap/>
              <w:overflowPunct/>
              <w:topLinePunct w:val="0"/>
              <w:autoSpaceDE/>
              <w:autoSpaceDN/>
              <w:bidi w:val="0"/>
              <w:adjustRightInd/>
              <w:snapToGrid/>
              <w:spacing w:line="360" w:lineRule="auto"/>
              <w:ind w:left="420" w:leftChars="0"/>
              <w:jc w:val="both"/>
              <w:textAlignment w:val="auto"/>
              <w:rPr>
                <w:rFonts w:hint="default" w:ascii="宋体" w:hAnsi="宋体" w:eastAsia="宋体" w:cs="宋体"/>
                <w:b/>
                <w:bCs/>
                <w:color w:val="auto"/>
                <w:kern w:val="2"/>
                <w:sz w:val="24"/>
                <w:szCs w:val="24"/>
                <w:lang w:val="en-US" w:eastAsia="zh-CN" w:bidi="ar-SA"/>
              </w:rPr>
            </w:pPr>
            <w:r>
              <w:rPr>
                <w:rFonts w:hint="default" w:ascii="宋体" w:hAnsi="宋体" w:eastAsia="宋体" w:cs="宋体"/>
                <w:b/>
                <w:bCs/>
                <w:color w:val="auto"/>
                <w:kern w:val="2"/>
                <w:sz w:val="24"/>
                <w:szCs w:val="24"/>
                <w:lang w:val="en-US" w:eastAsia="zh-CN" w:bidi="ar-SA"/>
              </w:rPr>
              <w:t>（二）供应商应符合参加本次预算询价活动应当具备的条件：</w:t>
            </w:r>
          </w:p>
          <w:p w14:paraId="067D3060">
            <w:pPr>
              <w:pStyle w:val="10"/>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default" w:ascii="宋体" w:hAnsi="宋体" w:cs="宋体"/>
                <w:b w:val="0"/>
                <w:bCs w:val="0"/>
                <w:color w:val="auto"/>
                <w:kern w:val="2"/>
                <w:sz w:val="24"/>
                <w:szCs w:val="24"/>
                <w:lang w:val="en-US" w:eastAsia="zh-CN" w:bidi="ar-SA"/>
              </w:rPr>
            </w:pPr>
            <w:r>
              <w:rPr>
                <w:rFonts w:hint="default" w:ascii="宋体" w:hAnsi="宋体" w:cs="宋体"/>
                <w:b w:val="0"/>
                <w:bCs w:val="0"/>
                <w:color w:val="auto"/>
                <w:kern w:val="2"/>
                <w:sz w:val="24"/>
                <w:szCs w:val="24"/>
                <w:lang w:val="en-US" w:eastAsia="zh-CN" w:bidi="ar-SA"/>
              </w:rPr>
              <w:t>1、具有独立承担民事责任的能力；</w:t>
            </w:r>
          </w:p>
          <w:p w14:paraId="70603E24">
            <w:pPr>
              <w:pStyle w:val="10"/>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default" w:ascii="宋体" w:hAnsi="宋体" w:cs="宋体"/>
                <w:b w:val="0"/>
                <w:bCs w:val="0"/>
                <w:color w:val="auto"/>
                <w:kern w:val="2"/>
                <w:sz w:val="24"/>
                <w:szCs w:val="24"/>
                <w:lang w:val="en-US" w:eastAsia="zh-CN" w:bidi="ar-SA"/>
              </w:rPr>
            </w:pPr>
            <w:r>
              <w:rPr>
                <w:rFonts w:hint="default" w:ascii="宋体" w:hAnsi="宋体" w:cs="宋体"/>
                <w:b w:val="0"/>
                <w:bCs w:val="0"/>
                <w:color w:val="auto"/>
                <w:kern w:val="2"/>
                <w:sz w:val="24"/>
                <w:szCs w:val="24"/>
                <w:lang w:val="en-US" w:eastAsia="zh-CN" w:bidi="ar-SA"/>
              </w:rPr>
              <w:t>2、具有良好的商业信誉和健全的财务会计制度；</w:t>
            </w:r>
          </w:p>
          <w:p w14:paraId="6717CFE6">
            <w:pPr>
              <w:pStyle w:val="10"/>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default" w:ascii="宋体" w:hAnsi="宋体" w:cs="宋体"/>
                <w:b w:val="0"/>
                <w:bCs w:val="0"/>
                <w:color w:val="auto"/>
                <w:kern w:val="2"/>
                <w:sz w:val="24"/>
                <w:szCs w:val="24"/>
                <w:lang w:val="en-US" w:eastAsia="zh-CN" w:bidi="ar-SA"/>
              </w:rPr>
            </w:pPr>
            <w:r>
              <w:rPr>
                <w:rFonts w:hint="default" w:ascii="宋体" w:hAnsi="宋体" w:cs="宋体"/>
                <w:b w:val="0"/>
                <w:bCs w:val="0"/>
                <w:color w:val="auto"/>
                <w:kern w:val="2"/>
                <w:sz w:val="24"/>
                <w:szCs w:val="24"/>
                <w:lang w:val="en-US" w:eastAsia="zh-CN" w:bidi="ar-SA"/>
              </w:rPr>
              <w:t>3、具有履行合同所必需的设备和专业技术能力；</w:t>
            </w:r>
          </w:p>
          <w:p w14:paraId="78E30BD0">
            <w:pPr>
              <w:pStyle w:val="10"/>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default" w:ascii="宋体" w:hAnsi="宋体" w:cs="宋体"/>
                <w:b w:val="0"/>
                <w:bCs w:val="0"/>
                <w:color w:val="auto"/>
                <w:kern w:val="2"/>
                <w:sz w:val="24"/>
                <w:szCs w:val="24"/>
                <w:lang w:val="en-US" w:eastAsia="zh-CN" w:bidi="ar-SA"/>
              </w:rPr>
            </w:pPr>
            <w:r>
              <w:rPr>
                <w:rFonts w:hint="default" w:ascii="宋体" w:hAnsi="宋体" w:cs="宋体"/>
                <w:b w:val="0"/>
                <w:bCs w:val="0"/>
                <w:color w:val="auto"/>
                <w:kern w:val="2"/>
                <w:sz w:val="24"/>
                <w:szCs w:val="24"/>
                <w:lang w:val="en-US" w:eastAsia="zh-CN" w:bidi="ar-SA"/>
              </w:rPr>
              <w:t>4、具有依法缴纳税收和社会保障资金的良好记录；</w:t>
            </w:r>
          </w:p>
          <w:p w14:paraId="39500100">
            <w:pPr>
              <w:pStyle w:val="10"/>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default" w:ascii="宋体" w:hAnsi="宋体" w:cs="宋体"/>
                <w:b w:val="0"/>
                <w:bCs w:val="0"/>
                <w:color w:val="auto"/>
                <w:kern w:val="2"/>
                <w:sz w:val="24"/>
                <w:szCs w:val="24"/>
                <w:lang w:val="en-US" w:eastAsia="zh-CN" w:bidi="ar-SA"/>
              </w:rPr>
            </w:pPr>
            <w:r>
              <w:rPr>
                <w:rFonts w:hint="default" w:ascii="宋体" w:hAnsi="宋体" w:cs="宋体"/>
                <w:b w:val="0"/>
                <w:bCs w:val="0"/>
                <w:color w:val="auto"/>
                <w:kern w:val="2"/>
                <w:sz w:val="24"/>
                <w:szCs w:val="24"/>
                <w:lang w:val="en-US" w:eastAsia="zh-CN" w:bidi="ar-SA"/>
              </w:rPr>
              <w:t>5、参加本次采购活动前三年内，在经营活动中没有重大违法记录；</w:t>
            </w:r>
          </w:p>
          <w:p w14:paraId="749521A1">
            <w:pPr>
              <w:pStyle w:val="10"/>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default" w:ascii="宋体" w:hAnsi="宋体" w:cs="宋体"/>
                <w:b w:val="0"/>
                <w:bCs w:val="0"/>
                <w:color w:val="auto"/>
                <w:kern w:val="2"/>
                <w:sz w:val="24"/>
                <w:szCs w:val="24"/>
                <w:lang w:val="en-US" w:eastAsia="zh-CN" w:bidi="ar-SA"/>
              </w:rPr>
            </w:pPr>
            <w:r>
              <w:rPr>
                <w:rFonts w:hint="default" w:ascii="宋体" w:hAnsi="宋体" w:cs="宋体"/>
                <w:b w:val="0"/>
                <w:bCs w:val="0"/>
                <w:color w:val="auto"/>
                <w:kern w:val="2"/>
                <w:sz w:val="24"/>
                <w:szCs w:val="24"/>
                <w:lang w:val="en-US" w:eastAsia="zh-CN" w:bidi="ar-SA"/>
              </w:rPr>
              <w:t>6、满足法律、行政法规规定的其他条件。</w:t>
            </w:r>
          </w:p>
          <w:p w14:paraId="1289F431">
            <w:pPr>
              <w:pStyle w:val="10"/>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default" w:ascii="宋体" w:hAnsi="宋体" w:cs="宋体"/>
                <w:b w:val="0"/>
                <w:bCs w:val="0"/>
                <w:color w:val="auto"/>
                <w:kern w:val="2"/>
                <w:sz w:val="24"/>
                <w:szCs w:val="24"/>
                <w:highlight w:val="none"/>
                <w:lang w:val="en-US" w:eastAsia="zh-CN" w:bidi="ar-SA"/>
              </w:rPr>
            </w:pPr>
            <w:r>
              <w:rPr>
                <w:rFonts w:hint="default" w:ascii="宋体" w:hAnsi="宋体" w:cs="宋体"/>
                <w:b w:val="0"/>
                <w:bCs w:val="0"/>
                <w:color w:val="auto"/>
                <w:kern w:val="2"/>
                <w:sz w:val="24"/>
                <w:szCs w:val="24"/>
                <w:highlight w:val="none"/>
                <w:lang w:val="en-US" w:eastAsia="zh-CN" w:bidi="ar-SA"/>
              </w:rPr>
              <w:t>7、营业范围需包含建设工程施工、建设工程勘察、文物保护工程施工三类许可项目。</w:t>
            </w:r>
          </w:p>
          <w:p w14:paraId="490FDC3C">
            <w:pPr>
              <w:pStyle w:val="10"/>
              <w:keepNext w:val="0"/>
              <w:keepLines w:val="0"/>
              <w:pageBreakBefore w:val="0"/>
              <w:numPr>
                <w:ilvl w:val="0"/>
                <w:numId w:val="0"/>
              </w:numPr>
              <w:kinsoku/>
              <w:wordWrap/>
              <w:overflowPunct/>
              <w:topLinePunct w:val="0"/>
              <w:autoSpaceDE/>
              <w:autoSpaceDN/>
              <w:bidi w:val="0"/>
              <w:adjustRightInd/>
              <w:snapToGrid/>
              <w:spacing w:line="360" w:lineRule="auto"/>
              <w:ind w:left="420" w:leftChars="0"/>
              <w:jc w:val="both"/>
              <w:textAlignment w:val="auto"/>
              <w:rPr>
                <w:rFonts w:hint="default" w:ascii="宋体" w:hAnsi="宋体" w:cs="宋体"/>
                <w:b w:val="0"/>
                <w:bCs w:val="0"/>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（三）具体采购内容以正式采购文件为准。</w:t>
            </w:r>
          </w:p>
        </w:tc>
      </w:tr>
    </w:tbl>
    <w:p w14:paraId="78142A5D">
      <w:pPr>
        <w:pStyle w:val="5"/>
        <w:spacing w:line="580" w:lineRule="exact"/>
        <w:ind w:firstLine="0" w:firstLineChars="0"/>
        <w:rPr>
          <w:rFonts w:ascii="Times New Roman" w:hAnsi="Times New Roman" w:eastAsia="方正仿宋_GBK" w:cs="Times New Roman"/>
          <w:bCs/>
          <w:color w:val="auto"/>
          <w:kern w:val="0"/>
          <w:sz w:val="32"/>
          <w:szCs w:val="32"/>
        </w:rPr>
      </w:pPr>
    </w:p>
    <w:p w14:paraId="6D29827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2"/>
      <w:numFmt w:val="chineseCounting"/>
      <w:suff w:val="nothing"/>
      <w:lvlText w:val="%1、"/>
      <w:lvlJc w:val="left"/>
      <w:rPr>
        <w:rFonts w:hint="eastAsia"/>
      </w:rPr>
    </w:lvl>
  </w:abstractNum>
  <w:abstractNum w:abstractNumId="1">
    <w:nsid w:val="00000007"/>
    <w:multiLevelType w:val="singleLevel"/>
    <w:tmpl w:val="00000007"/>
    <w:lvl w:ilvl="0" w:tentative="0">
      <w:start w:val="1"/>
      <w:numFmt w:val="chineseCounting"/>
      <w:suff w:val="nothing"/>
      <w:lvlText w:val="（%1）"/>
      <w:lvlJc w:val="left"/>
      <w:pPr>
        <w:ind w:left="0" w:firstLine="420"/>
      </w:pPr>
      <w:rPr>
        <w:rFonts w:hint="eastAsia"/>
        <w:b/>
        <w:bCs/>
      </w:rPr>
    </w:lvl>
  </w:abstractNum>
  <w:abstractNum w:abstractNumId="2">
    <w:nsid w:val="00000009"/>
    <w:multiLevelType w:val="singleLevel"/>
    <w:tmpl w:val="00000009"/>
    <w:lvl w:ilvl="0" w:tentative="0">
      <w:start w:val="3"/>
      <w:numFmt w:val="chineseCounting"/>
      <w:suff w:val="nothing"/>
      <w:lvlText w:val="%1、"/>
      <w:lvlJc w:val="left"/>
      <w:rPr>
        <w:rFonts w:hint="eastAsia"/>
        <w:b/>
        <w:bC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861041"/>
    <w:rsid w:val="01C13F98"/>
    <w:rsid w:val="13984354"/>
    <w:rsid w:val="27861041"/>
    <w:rsid w:val="60DF1AC5"/>
    <w:rsid w:val="69392C0C"/>
    <w:rsid w:val="6B301415"/>
    <w:rsid w:val="7470429C"/>
    <w:rsid w:val="7BD858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4"/>
    <w:basedOn w:val="1"/>
    <w:next w:val="1"/>
    <w:qFormat/>
    <w:uiPriority w:val="0"/>
    <w:pPr>
      <w:spacing w:before="0" w:beforeAutospacing="1" w:after="0" w:afterAutospacing="1"/>
      <w:jc w:val="left"/>
    </w:pPr>
    <w:rPr>
      <w:rFonts w:hint="eastAsia" w:ascii="宋体" w:hAnsi="宋体" w:eastAsia="宋体" w:cs="宋体"/>
      <w:b/>
      <w:bCs/>
      <w:kern w:val="0"/>
      <w:sz w:val="24"/>
      <w:szCs w:val="24"/>
      <w:lang w:val="en-US" w:eastAsia="zh-CN"/>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99"/>
    <w:rPr>
      <w:rFonts w:ascii="宋体"/>
      <w:color w:val="000000"/>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w:basedOn w:val="3"/>
    <w:qFormat/>
    <w:uiPriority w:val="99"/>
    <w:pPr>
      <w:tabs>
        <w:tab w:val="left" w:pos="0"/>
      </w:tabs>
      <w:ind w:firstLine="420" w:firstLineChars="100"/>
    </w:p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customStyle="1" w:styleId="10">
    <w:name w:val="null3"/>
    <w:qFormat/>
    <w:uiPriority w:val="0"/>
    <w:rPr>
      <w:rFonts w:hint="eastAsia" w:ascii="Calibri" w:hAnsi="Calibri" w:eastAsia="宋体" w:cs="宋体"/>
      <w:lang w:val="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609</Words>
  <Characters>610</Characters>
  <Lines>0</Lines>
  <Paragraphs>0</Paragraphs>
  <TotalTime>14</TotalTime>
  <ScaleCrop>false</ScaleCrop>
  <LinksUpToDate>false</LinksUpToDate>
  <CharactersWithSpaces>630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2026-06-11T08:10:00Z</dcterms:created>
  <dc:creator>Tsring</dc:creator>
  <cp:lastModifiedBy>Tsring</cp:lastModifiedBy>
  <dcterms:modified xsi:type="dcterms:W3CDTF">2026-06-12T08:53:55Z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30E74DC093EE4C1983F2F03004C67446_11</vt:lpwstr>
  </property>
  <property fmtid="{D5CDD505-2E9C-101B-9397-08002B2CF9AE}" pid="4" name="KSOTemplateDocerSaveRecord">
    <vt:lpwstr>eyJoZGlkIjoiZDI1ZTAwODFlYzNjZWE1YzRlYjdlODU3OGE0OGYxYzQiLCJ1c2VySWQiOiIyMTY0OTkwNzAifQ==</vt:lpwstr>
  </property>
</Properties>
</file>