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3486A" w14:textId="77777777" w:rsidR="00724776" w:rsidRDefault="00FB3C25">
      <w:pPr>
        <w:spacing w:line="580" w:lineRule="exact"/>
        <w:jc w:val="left"/>
        <w:rPr>
          <w:rFonts w:ascii="Times New Roman" w:eastAsia="方正仿宋_GBK" w:hAnsi="Times New Roman" w:cs="Times New Roman"/>
          <w:b/>
          <w:sz w:val="32"/>
          <w:szCs w:val="32"/>
        </w:rPr>
      </w:pPr>
      <w:r>
        <w:rPr>
          <w:rFonts w:ascii="Times New Roman" w:eastAsia="方正仿宋_GBK" w:hAnsi="Times New Roman" w:cs="Times New Roman"/>
          <w:b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b/>
          <w:sz w:val="32"/>
          <w:szCs w:val="32"/>
        </w:rPr>
        <w:t xml:space="preserve">                    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采购需求</w:t>
      </w:r>
    </w:p>
    <w:tbl>
      <w:tblPr>
        <w:tblStyle w:val="aa"/>
        <w:tblW w:w="10207" w:type="dxa"/>
        <w:tblInd w:w="-743" w:type="dxa"/>
        <w:tblLook w:val="04A0" w:firstRow="1" w:lastRow="0" w:firstColumn="1" w:lastColumn="0" w:noHBand="0" w:noVBand="1"/>
      </w:tblPr>
      <w:tblGrid>
        <w:gridCol w:w="1560"/>
        <w:gridCol w:w="8647"/>
      </w:tblGrid>
      <w:tr w:rsidR="00724776" w14:paraId="02D7EA87" w14:textId="77777777">
        <w:tc>
          <w:tcPr>
            <w:tcW w:w="1560" w:type="dxa"/>
          </w:tcPr>
          <w:p w14:paraId="7EE56672" w14:textId="77777777" w:rsidR="00724776" w:rsidRDefault="00FB3C25">
            <w:pPr>
              <w:pStyle w:val="a9"/>
              <w:spacing w:line="360" w:lineRule="auto"/>
              <w:ind w:firstLineChars="0" w:firstLine="0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项目名称</w:t>
            </w:r>
          </w:p>
        </w:tc>
        <w:tc>
          <w:tcPr>
            <w:tcW w:w="8647" w:type="dxa"/>
          </w:tcPr>
          <w:p w14:paraId="58884122" w14:textId="77777777" w:rsidR="00724776" w:rsidRDefault="00FB3C25">
            <w:pPr>
              <w:pStyle w:val="4"/>
              <w:widowControl/>
              <w:shd w:val="clear" w:color="auto" w:fill="FFFFFF"/>
              <w:spacing w:before="75" w:beforeAutospacing="0" w:after="75" w:afterAutospacing="0" w:line="360" w:lineRule="auto"/>
              <w:jc w:val="center"/>
              <w:rPr>
                <w:rFonts w:hint="default"/>
              </w:rPr>
            </w:pPr>
            <w:r>
              <w:rPr>
                <w:b w:val="0"/>
                <w:bCs w:val="0"/>
                <w:kern w:val="2"/>
                <w:lang w:val="zh-TW"/>
              </w:rPr>
              <w:t>武侯祠智能票务线上预约系统2026年</w:t>
            </w:r>
            <w:proofErr w:type="gramStart"/>
            <w:r>
              <w:rPr>
                <w:b w:val="0"/>
                <w:bCs w:val="0"/>
                <w:kern w:val="2"/>
                <w:lang w:val="zh-TW"/>
              </w:rPr>
              <w:t>三级等保测评</w:t>
            </w:r>
            <w:proofErr w:type="gramEnd"/>
            <w:r>
              <w:rPr>
                <w:b w:val="0"/>
                <w:bCs w:val="0"/>
                <w:kern w:val="2"/>
                <w:lang w:val="zh-TW"/>
              </w:rPr>
              <w:t>项目</w:t>
            </w:r>
          </w:p>
        </w:tc>
      </w:tr>
      <w:tr w:rsidR="00724776" w14:paraId="6C92972A" w14:textId="77777777">
        <w:tc>
          <w:tcPr>
            <w:tcW w:w="1560" w:type="dxa"/>
          </w:tcPr>
          <w:p w14:paraId="304CF8D6" w14:textId="77777777" w:rsidR="00724776" w:rsidRDefault="00FB3C25">
            <w:pPr>
              <w:pStyle w:val="a9"/>
              <w:spacing w:line="360" w:lineRule="auto"/>
              <w:ind w:firstLineChars="0" w:firstLine="0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服务期限</w:t>
            </w:r>
          </w:p>
        </w:tc>
        <w:tc>
          <w:tcPr>
            <w:tcW w:w="8647" w:type="dxa"/>
          </w:tcPr>
          <w:p w14:paraId="13F301A3" w14:textId="77777777" w:rsidR="00724776" w:rsidRDefault="00FB3C25">
            <w:pPr>
              <w:pStyle w:val="a9"/>
              <w:spacing w:line="360" w:lineRule="auto"/>
              <w:ind w:firstLineChars="0" w:firstLine="0"/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bCs/>
                <w:color w:val="auto"/>
                <w:kern w:val="0"/>
                <w:sz w:val="24"/>
              </w:rPr>
              <w:t>自合同签订之日起一年内</w:t>
            </w:r>
          </w:p>
        </w:tc>
      </w:tr>
      <w:tr w:rsidR="00724776" w14:paraId="2D7F3CBE" w14:textId="77777777">
        <w:trPr>
          <w:trHeight w:val="11901"/>
        </w:trPr>
        <w:tc>
          <w:tcPr>
            <w:tcW w:w="1560" w:type="dxa"/>
          </w:tcPr>
          <w:p w14:paraId="4EBE1500" w14:textId="77777777" w:rsidR="00724776" w:rsidRDefault="00FB3C25">
            <w:pPr>
              <w:pStyle w:val="a9"/>
              <w:spacing w:line="360" w:lineRule="auto"/>
              <w:ind w:firstLineChars="0" w:firstLine="0"/>
              <w:rPr>
                <w:rFonts w:hAnsi="宋体"/>
                <w:color w:val="auto"/>
                <w:sz w:val="24"/>
              </w:rPr>
            </w:pPr>
            <w:r>
              <w:rPr>
                <w:rFonts w:hAnsi="宋体" w:hint="eastAsia"/>
                <w:color w:val="auto"/>
                <w:sz w:val="24"/>
              </w:rPr>
              <w:t>项目需求</w:t>
            </w:r>
          </w:p>
        </w:tc>
        <w:tc>
          <w:tcPr>
            <w:tcW w:w="8647" w:type="dxa"/>
            <w:vMerge w:val="restart"/>
          </w:tcPr>
          <w:p w14:paraId="7C34A493" w14:textId="77777777" w:rsidR="00724776" w:rsidRDefault="00FB3C25">
            <w:pPr>
              <w:spacing w:line="360" w:lineRule="auto"/>
              <w:jc w:val="left"/>
              <w:rPr>
                <w:rFonts w:ascii="宋体" w:hAnsi="宋体"/>
                <w:b/>
                <w:kern w:val="0"/>
                <w:sz w:val="24"/>
                <w:lang w:val="zh-TW" w:eastAsia="zh-TW"/>
              </w:rPr>
            </w:pPr>
            <w:bookmarkStart w:id="0" w:name="OLE_LINK2"/>
            <w:bookmarkStart w:id="1" w:name="OLE_LINK1"/>
            <w:bookmarkStart w:id="2" w:name="OLE_LINK3"/>
            <w:r>
              <w:rPr>
                <w:rFonts w:ascii="宋体" w:hAnsi="宋体" w:hint="eastAsia"/>
                <w:b/>
                <w:kern w:val="0"/>
                <w:sz w:val="24"/>
              </w:rPr>
              <w:t>一、项目</w:t>
            </w:r>
            <w:r>
              <w:rPr>
                <w:rFonts w:ascii="宋体" w:hAnsi="宋体" w:hint="eastAsia"/>
                <w:b/>
                <w:kern w:val="0"/>
                <w:sz w:val="24"/>
                <w:lang w:val="zh-TW"/>
              </w:rPr>
              <w:t>概况</w:t>
            </w:r>
          </w:p>
          <w:p w14:paraId="49FE23B2" w14:textId="77777777" w:rsidR="00724776" w:rsidRDefault="00FB3C25">
            <w:pPr>
              <w:widowControl/>
              <w:numPr>
                <w:ilvl w:val="255"/>
                <w:numId w:val="0"/>
              </w:numPr>
              <w:spacing w:line="360" w:lineRule="auto"/>
              <w:ind w:firstLineChars="200" w:firstLine="480"/>
              <w:jc w:val="left"/>
              <w:outlineLvl w:val="1"/>
              <w:rPr>
                <w:rFonts w:ascii="宋体" w:hAnsi="宋体"/>
                <w:sz w:val="24"/>
                <w:lang w:val="zh-TW"/>
              </w:rPr>
            </w:pPr>
            <w:bookmarkStart w:id="3" w:name="_Toc21755"/>
            <w:r>
              <w:rPr>
                <w:rFonts w:ascii="宋体" w:hAnsi="宋体" w:hint="eastAsia"/>
                <w:sz w:val="24"/>
                <w:lang w:val="zh-TW"/>
              </w:rPr>
              <w:t>为</w:t>
            </w:r>
            <w:r>
              <w:rPr>
                <w:rFonts w:ascii="宋体" w:hAnsi="宋体" w:hint="eastAsia"/>
                <w:sz w:val="24"/>
              </w:rPr>
              <w:t>保障成都武侯祠智能票务线上预约系统网络安全并正常运行</w:t>
            </w:r>
            <w:r>
              <w:rPr>
                <w:rFonts w:ascii="宋体" w:hAnsi="宋体" w:hint="eastAsia"/>
                <w:sz w:val="24"/>
                <w:lang w:val="zh-TW"/>
              </w:rPr>
              <w:t>，拟</w:t>
            </w:r>
            <w:r>
              <w:rPr>
                <w:rFonts w:ascii="宋体" w:hAnsi="宋体" w:hint="eastAsia"/>
                <w:sz w:val="24"/>
              </w:rPr>
              <w:t>对成都武侯祠智能票务线上预约系统2026年</w:t>
            </w:r>
            <w:proofErr w:type="gramStart"/>
            <w:r>
              <w:rPr>
                <w:rFonts w:ascii="宋体" w:hAnsi="宋体" w:hint="eastAsia"/>
                <w:sz w:val="24"/>
              </w:rPr>
              <w:t>三级等保测评</w:t>
            </w:r>
            <w:proofErr w:type="gramEnd"/>
            <w:r>
              <w:rPr>
                <w:rFonts w:ascii="宋体" w:hAnsi="宋体" w:hint="eastAsia"/>
                <w:sz w:val="24"/>
              </w:rPr>
              <w:t>项目进项采购</w:t>
            </w:r>
            <w:r>
              <w:rPr>
                <w:rFonts w:ascii="宋体" w:hAnsi="宋体" w:hint="eastAsia"/>
                <w:sz w:val="24"/>
                <w:lang w:val="zh-TW"/>
              </w:rPr>
              <w:t>。</w:t>
            </w:r>
          </w:p>
          <w:p w14:paraId="2D95F890" w14:textId="77777777" w:rsidR="00724776" w:rsidRDefault="00FB3C25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outlineLvl w:val="1"/>
              <w:rPr>
                <w:rFonts w:ascii="宋体" w:hAnsi="宋体"/>
                <w:b/>
                <w:kern w:val="44"/>
                <w:sz w:val="24"/>
              </w:rPr>
            </w:pPr>
            <w:r>
              <w:rPr>
                <w:rFonts w:ascii="宋体" w:hAnsi="宋体" w:hint="eastAsia"/>
                <w:b/>
                <w:kern w:val="44"/>
                <w:sz w:val="24"/>
              </w:rPr>
              <w:t>服务内容</w:t>
            </w:r>
            <w:bookmarkEnd w:id="3"/>
          </w:p>
          <w:p w14:paraId="5C46555E" w14:textId="77777777" w:rsidR="00724776" w:rsidRDefault="00FB3C25">
            <w:pPr>
              <w:widowControl/>
              <w:numPr>
                <w:ilvl w:val="255"/>
                <w:numId w:val="0"/>
              </w:numPr>
              <w:spacing w:line="360" w:lineRule="auto"/>
              <w:ind w:firstLineChars="200" w:firstLine="480"/>
              <w:jc w:val="left"/>
              <w:outlineLvl w:val="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对成都武侯祠智能票务线上预约系统</w:t>
            </w:r>
            <w:proofErr w:type="gramStart"/>
            <w:r>
              <w:rPr>
                <w:rFonts w:ascii="宋体" w:hAnsi="宋体"/>
                <w:sz w:val="24"/>
              </w:rPr>
              <w:t>进行等保3级</w:t>
            </w:r>
            <w:proofErr w:type="gramEnd"/>
            <w:r>
              <w:rPr>
                <w:rFonts w:ascii="宋体" w:hAnsi="宋体"/>
                <w:sz w:val="24"/>
              </w:rPr>
              <w:t>测评，覆盖：系统调研、方案编制、现场测评、整改建议、报告编制等</w:t>
            </w:r>
            <w:proofErr w:type="gramStart"/>
            <w:r>
              <w:rPr>
                <w:rFonts w:ascii="宋体" w:hAnsi="宋体"/>
                <w:sz w:val="24"/>
              </w:rPr>
              <w:t>测评全</w:t>
            </w:r>
            <w:proofErr w:type="gramEnd"/>
            <w:r>
              <w:rPr>
                <w:rFonts w:ascii="宋体" w:hAnsi="宋体"/>
                <w:sz w:val="24"/>
              </w:rPr>
              <w:t>流程，确保目标系统通过</w:t>
            </w:r>
            <w:proofErr w:type="gramStart"/>
            <w:r>
              <w:rPr>
                <w:rFonts w:ascii="宋体" w:hAnsi="宋体"/>
                <w:sz w:val="24"/>
              </w:rPr>
              <w:t>3级等保测评</w:t>
            </w:r>
            <w:proofErr w:type="gramEnd"/>
            <w:r>
              <w:rPr>
                <w:rFonts w:ascii="宋体" w:hAnsi="宋体"/>
                <w:sz w:val="24"/>
              </w:rPr>
              <w:t>，取得合</w:t>
            </w:r>
            <w:proofErr w:type="gramStart"/>
            <w:r>
              <w:rPr>
                <w:rFonts w:ascii="宋体" w:hAnsi="宋体"/>
                <w:sz w:val="24"/>
              </w:rPr>
              <w:t>规</w:t>
            </w:r>
            <w:proofErr w:type="gramEnd"/>
            <w:r>
              <w:rPr>
                <w:rFonts w:ascii="宋体" w:hAnsi="宋体"/>
                <w:sz w:val="24"/>
              </w:rPr>
              <w:t>测评报告并完成公安机关备案。</w:t>
            </w:r>
            <w:r>
              <w:rPr>
                <w:rFonts w:ascii="宋体" w:hAnsi="宋体" w:hint="eastAsia"/>
                <w:sz w:val="24"/>
                <w:lang w:val="zh-TW"/>
              </w:rPr>
              <w:t>。</w:t>
            </w:r>
          </w:p>
          <w:p w14:paraId="0D47B0CF" w14:textId="77777777" w:rsidR="00724776" w:rsidRDefault="00FB3C25">
            <w:pPr>
              <w:pStyle w:val="null3"/>
              <w:numPr>
                <w:ilvl w:val="0"/>
                <w:numId w:val="3"/>
              </w:numPr>
              <w:spacing w:line="360" w:lineRule="auto"/>
              <w:jc w:val="both"/>
              <w:rPr>
                <w:rFonts w:ascii="宋体" w:hAnsi="宋体" w:hint="default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kern w:val="2"/>
                <w:sz w:val="24"/>
                <w:szCs w:val="24"/>
              </w:rPr>
              <w:t>服务质量要求</w:t>
            </w:r>
          </w:p>
          <w:p w14:paraId="575A25BD" w14:textId="77777777" w:rsidR="00724776" w:rsidRDefault="00FB3C25">
            <w:pPr>
              <w:pStyle w:val="1"/>
              <w:keepNext w:val="0"/>
              <w:keepLines w:val="0"/>
              <w:spacing w:line="240" w:lineRule="auto"/>
              <w:ind w:firstLine="560"/>
              <w:rPr>
                <w:rFonts w:ascii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hAnsi="宋体" w:cs="黑体" w:hint="eastAsia"/>
                <w:color w:val="000000"/>
                <w:sz w:val="28"/>
                <w:szCs w:val="28"/>
              </w:rPr>
              <w:t>测评依据</w:t>
            </w:r>
          </w:p>
          <w:p w14:paraId="68CF2270" w14:textId="77777777" w:rsidR="00724776" w:rsidRDefault="00FB3C25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afterAutospacing="1" w:line="360" w:lineRule="auto"/>
              <w:ind w:left="0"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《中华人民共和国网络安全法》；</w:t>
            </w:r>
          </w:p>
          <w:p w14:paraId="554963FC" w14:textId="77777777" w:rsidR="00724776" w:rsidRDefault="00FB3C25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afterAutospacing="1" w:line="360" w:lineRule="auto"/>
              <w:ind w:left="0"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《中华人民共和国数据安全法》；</w:t>
            </w:r>
          </w:p>
          <w:p w14:paraId="1C575908" w14:textId="77777777" w:rsidR="00724776" w:rsidRDefault="00FB3C25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afterAutospacing="1" w:line="360" w:lineRule="auto"/>
              <w:ind w:left="0"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《网络安全等级保护条例》；</w:t>
            </w:r>
          </w:p>
          <w:p w14:paraId="1084369E" w14:textId="77777777" w:rsidR="00724776" w:rsidRDefault="00FB3C25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afterAutospacing="1" w:line="360" w:lineRule="auto"/>
              <w:ind w:left="0"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《信息安全技术 网络安全等级保护基本要求》（GB/T 22239-2019）；</w:t>
            </w:r>
          </w:p>
          <w:p w14:paraId="2450955C" w14:textId="77777777" w:rsidR="00724776" w:rsidRDefault="00FB3C25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afterAutospacing="1" w:line="360" w:lineRule="auto"/>
              <w:ind w:left="0"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《信息安全技术 网络安全等级保护测评要求》（GB/T 28448-2019）；</w:t>
            </w:r>
          </w:p>
          <w:p w14:paraId="774650C7" w14:textId="77777777" w:rsidR="00724776" w:rsidRDefault="00FB3C25">
            <w:pPr>
              <w:pStyle w:val="1"/>
              <w:keepNext w:val="0"/>
              <w:keepLines w:val="0"/>
              <w:ind w:firstLine="560"/>
              <w:rPr>
                <w:rFonts w:ascii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hAnsi="宋体" w:cs="黑体" w:hint="eastAsia"/>
                <w:color w:val="000000"/>
                <w:sz w:val="28"/>
                <w:szCs w:val="28"/>
              </w:rPr>
              <w:t>测评范围</w:t>
            </w:r>
          </w:p>
          <w:p w14:paraId="650CFCE1" w14:textId="77777777" w:rsidR="00724776" w:rsidRDefault="00FB3C25">
            <w:pPr>
              <w:pStyle w:val="2"/>
              <w:numPr>
                <w:ilvl w:val="1"/>
                <w:numId w:val="0"/>
              </w:numPr>
              <w:spacing w:line="360" w:lineRule="auto"/>
              <w:ind w:left="482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（一）技术层面</w:t>
            </w:r>
          </w:p>
          <w:p w14:paraId="2B303DC3" w14:textId="77777777" w:rsidR="00724776" w:rsidRDefault="00FB3C25">
            <w:pPr>
              <w:widowControl/>
              <w:numPr>
                <w:ilvl w:val="0"/>
                <w:numId w:val="5"/>
              </w:numPr>
              <w:adjustRightInd w:val="0"/>
              <w:snapToGrid w:val="0"/>
              <w:spacing w:afterAutospacing="1" w:line="360" w:lineRule="auto"/>
              <w:ind w:left="0"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安全物理环境：云扩展项；</w:t>
            </w:r>
          </w:p>
          <w:p w14:paraId="228396EB" w14:textId="77777777" w:rsidR="00724776" w:rsidRDefault="00FB3C25">
            <w:pPr>
              <w:widowControl/>
              <w:numPr>
                <w:ilvl w:val="0"/>
                <w:numId w:val="5"/>
              </w:numPr>
              <w:adjustRightInd w:val="0"/>
              <w:snapToGrid w:val="0"/>
              <w:spacing w:afterAutospacing="1" w:line="360" w:lineRule="auto"/>
              <w:ind w:left="0"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15"/>
                <w:rFonts w:ascii="宋体" w:hAnsi="宋体" w:cs="宋体" w:hint="eastAsia"/>
                <w:b w:val="0"/>
                <w:color w:val="000000"/>
                <w:sz w:val="24"/>
                <w:lang w:bidi="ar"/>
              </w:rPr>
              <w:t>安全通信网络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：网络架构、通信传输和可信验证及云扩展项；</w:t>
            </w:r>
          </w:p>
          <w:p w14:paraId="02960748" w14:textId="77777777" w:rsidR="00724776" w:rsidRDefault="00FB3C25">
            <w:pPr>
              <w:widowControl/>
              <w:numPr>
                <w:ilvl w:val="0"/>
                <w:numId w:val="5"/>
              </w:numPr>
              <w:adjustRightInd w:val="0"/>
              <w:snapToGrid w:val="0"/>
              <w:spacing w:afterAutospacing="1" w:line="360" w:lineRule="auto"/>
              <w:ind w:left="0"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15"/>
                <w:rFonts w:ascii="宋体" w:hAnsi="宋体" w:cs="宋体" w:hint="eastAsia"/>
                <w:b w:val="0"/>
                <w:color w:val="000000"/>
                <w:sz w:val="24"/>
                <w:lang w:bidi="ar"/>
              </w:rPr>
              <w:t>安全区域边界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：边界防护、访问控制、入侵防范、恶意代码防范、安全审计和可信验证及云扩展项；</w:t>
            </w:r>
          </w:p>
          <w:p w14:paraId="02B430CE" w14:textId="77777777" w:rsidR="00724776" w:rsidRDefault="00FB3C25">
            <w:pPr>
              <w:widowControl/>
              <w:numPr>
                <w:ilvl w:val="0"/>
                <w:numId w:val="5"/>
              </w:numPr>
              <w:adjustRightInd w:val="0"/>
              <w:snapToGrid w:val="0"/>
              <w:spacing w:afterAutospacing="1" w:line="360" w:lineRule="auto"/>
              <w:ind w:left="0"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15"/>
                <w:rFonts w:ascii="宋体" w:hAnsi="宋体" w:cs="宋体" w:hint="eastAsia"/>
                <w:b w:val="0"/>
                <w:color w:val="000000"/>
                <w:sz w:val="24"/>
                <w:lang w:bidi="ar"/>
              </w:rPr>
              <w:lastRenderedPageBreak/>
              <w:t>安全计算环境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：身份鉴别、访问控制、安全审计、入侵防范、恶意代码防范、可信验证、数据完整性、数据备份恢复、剩余信息保护、个人信息保护；</w:t>
            </w:r>
          </w:p>
          <w:p w14:paraId="3B75DB55" w14:textId="77777777" w:rsidR="00724776" w:rsidRDefault="00FB3C25">
            <w:pPr>
              <w:widowControl/>
              <w:numPr>
                <w:ilvl w:val="0"/>
                <w:numId w:val="5"/>
              </w:numPr>
              <w:adjustRightInd w:val="0"/>
              <w:snapToGrid w:val="0"/>
              <w:spacing w:afterAutospacing="1" w:line="360" w:lineRule="auto"/>
              <w:ind w:left="0"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15"/>
                <w:rFonts w:ascii="宋体" w:hAnsi="宋体" w:cs="宋体" w:hint="eastAsia"/>
                <w:b w:val="0"/>
                <w:color w:val="000000"/>
                <w:sz w:val="24"/>
                <w:lang w:bidi="ar"/>
              </w:rPr>
              <w:t>安全管理中心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：系统管理和审计管理。</w:t>
            </w:r>
          </w:p>
          <w:p w14:paraId="23566D6F" w14:textId="77777777" w:rsidR="00724776" w:rsidRDefault="00FB3C25">
            <w:pPr>
              <w:pStyle w:val="2"/>
              <w:numPr>
                <w:ilvl w:val="1"/>
                <w:numId w:val="0"/>
              </w:numPr>
              <w:spacing w:line="360" w:lineRule="auto"/>
              <w:ind w:left="482"/>
              <w:rPr>
                <w:rFonts w:ascii="宋体" w:eastAsia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（二）管理层面</w:t>
            </w:r>
          </w:p>
          <w:p w14:paraId="6D86E7D2" w14:textId="77777777" w:rsidR="00724776" w:rsidRDefault="00FB3C25">
            <w:pPr>
              <w:widowControl/>
              <w:numPr>
                <w:ilvl w:val="0"/>
                <w:numId w:val="6"/>
              </w:numPr>
              <w:adjustRightInd w:val="0"/>
              <w:snapToGrid w:val="0"/>
              <w:spacing w:afterAutospacing="1" w:line="360" w:lineRule="auto"/>
              <w:ind w:left="0"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15"/>
                <w:rFonts w:ascii="宋体" w:hAnsi="宋体" w:cs="宋体" w:hint="eastAsia"/>
                <w:b w:val="0"/>
                <w:color w:val="000000"/>
                <w:sz w:val="24"/>
                <w:lang w:bidi="ar"/>
              </w:rPr>
              <w:t>安全管理制度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：安全策略、管理制度、制定和发布、评审和修订；</w:t>
            </w:r>
          </w:p>
          <w:p w14:paraId="5EEFF73A" w14:textId="77777777" w:rsidR="00724776" w:rsidRDefault="00FB3C25">
            <w:pPr>
              <w:widowControl/>
              <w:numPr>
                <w:ilvl w:val="0"/>
                <w:numId w:val="6"/>
              </w:numPr>
              <w:adjustRightInd w:val="0"/>
              <w:snapToGrid w:val="0"/>
              <w:spacing w:afterAutospacing="1" w:line="360" w:lineRule="auto"/>
              <w:ind w:left="0"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15"/>
                <w:rFonts w:ascii="宋体" w:hAnsi="宋体" w:cs="宋体" w:hint="eastAsia"/>
                <w:b w:val="0"/>
                <w:color w:val="000000"/>
                <w:sz w:val="24"/>
                <w:lang w:bidi="ar"/>
              </w:rPr>
              <w:t>安全管理机构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：岗位设置、人员配备、授权和审批、沟通和合作、审核和检查；</w:t>
            </w:r>
          </w:p>
          <w:p w14:paraId="7E5621B5" w14:textId="77777777" w:rsidR="00724776" w:rsidRDefault="00FB3C25">
            <w:pPr>
              <w:widowControl/>
              <w:numPr>
                <w:ilvl w:val="0"/>
                <w:numId w:val="6"/>
              </w:numPr>
              <w:adjustRightInd w:val="0"/>
              <w:snapToGrid w:val="0"/>
              <w:spacing w:afterAutospacing="1" w:line="360" w:lineRule="auto"/>
              <w:ind w:left="0"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15"/>
                <w:rFonts w:ascii="宋体" w:hAnsi="宋体" w:cs="宋体" w:hint="eastAsia"/>
                <w:b w:val="0"/>
                <w:color w:val="000000"/>
                <w:sz w:val="24"/>
                <w:lang w:bidi="ar"/>
              </w:rPr>
              <w:t>安全人员管理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：人员录用、人员离岗、安全意识教育和培训、外部人员访问管理；</w:t>
            </w:r>
          </w:p>
          <w:p w14:paraId="26953A4D" w14:textId="77777777" w:rsidR="00724776" w:rsidRDefault="00FB3C25">
            <w:pPr>
              <w:widowControl/>
              <w:numPr>
                <w:ilvl w:val="0"/>
                <w:numId w:val="6"/>
              </w:numPr>
              <w:adjustRightInd w:val="0"/>
              <w:snapToGrid w:val="0"/>
              <w:spacing w:afterAutospacing="1" w:line="360" w:lineRule="auto"/>
              <w:ind w:left="0"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15"/>
                <w:rFonts w:ascii="宋体" w:hAnsi="宋体" w:cs="宋体" w:hint="eastAsia"/>
                <w:b w:val="0"/>
                <w:color w:val="000000"/>
                <w:sz w:val="24"/>
                <w:lang w:bidi="ar"/>
              </w:rPr>
              <w:t>安全建设管理：定级和备案、安全方案设计、产品采购和使用、自行软件开发、外包软件开发、工程实施、测试验收、系统交付、等级测评、服务供应</w:t>
            </w:r>
            <w:proofErr w:type="gramStart"/>
            <w:r>
              <w:rPr>
                <w:rStyle w:val="15"/>
                <w:rFonts w:ascii="宋体" w:hAnsi="宋体" w:cs="宋体" w:hint="eastAsia"/>
                <w:b w:val="0"/>
                <w:color w:val="000000"/>
                <w:sz w:val="24"/>
                <w:lang w:bidi="ar"/>
              </w:rPr>
              <w:t>商管理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及云扩展项</w:t>
            </w:r>
            <w:r>
              <w:rPr>
                <w:rStyle w:val="15"/>
                <w:rFonts w:ascii="宋体" w:hAnsi="宋体" w:cs="宋体" w:hint="eastAsia"/>
                <w:b w:val="0"/>
                <w:color w:val="000000"/>
                <w:sz w:val="24"/>
                <w:lang w:bidi="ar"/>
              </w:rPr>
              <w:t>；</w:t>
            </w:r>
          </w:p>
          <w:p w14:paraId="78ED2D9E" w14:textId="77777777" w:rsidR="00724776" w:rsidRDefault="00FB3C25">
            <w:pPr>
              <w:widowControl/>
              <w:numPr>
                <w:ilvl w:val="0"/>
                <w:numId w:val="6"/>
              </w:numPr>
              <w:adjustRightInd w:val="0"/>
              <w:snapToGrid w:val="0"/>
              <w:spacing w:afterAutospacing="1" w:line="360" w:lineRule="auto"/>
              <w:ind w:left="0" w:firstLineChars="200" w:firstLine="480"/>
              <w:jc w:val="left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Style w:val="15"/>
                <w:rFonts w:ascii="宋体" w:hAnsi="宋体" w:cs="宋体" w:hint="eastAsia"/>
                <w:b w:val="0"/>
                <w:color w:val="000000"/>
                <w:sz w:val="24"/>
                <w:lang w:bidi="ar"/>
              </w:rPr>
              <w:t>安全运</w:t>
            </w:r>
            <w:proofErr w:type="gramEnd"/>
            <w:r>
              <w:rPr>
                <w:rStyle w:val="15"/>
                <w:rFonts w:ascii="宋体" w:hAnsi="宋体" w:cs="宋体" w:hint="eastAsia"/>
                <w:b w:val="0"/>
                <w:color w:val="000000"/>
                <w:sz w:val="24"/>
                <w:lang w:bidi="ar"/>
              </w:rPr>
              <w:t>维管理</w:t>
            </w: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：环境管理、资产管理、介质管理、设备维护管理、漏洞和风险管理、网络和系统安全管理、恶意代码防范管理、配置管理、密码管理、变更管理、备份与恢复管理、安全事件处置、应急预案管理、外包运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维管理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及云扩展项。</w:t>
            </w:r>
          </w:p>
          <w:p w14:paraId="315651E1" w14:textId="77777777" w:rsidR="00724776" w:rsidRDefault="00FB3C25">
            <w:pPr>
              <w:pStyle w:val="1"/>
              <w:keepNext w:val="0"/>
              <w:keepLines w:val="0"/>
              <w:ind w:firstLine="560"/>
              <w:rPr>
                <w:rFonts w:ascii="宋体" w:eastAsia="宋体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hAnsi="宋体" w:cs="黑体" w:hint="eastAsia"/>
                <w:color w:val="000000"/>
                <w:sz w:val="28"/>
                <w:szCs w:val="28"/>
              </w:rPr>
              <w:t>其他要求</w:t>
            </w:r>
          </w:p>
          <w:p w14:paraId="0CE02814" w14:textId="77777777" w:rsidR="00724776" w:rsidRDefault="00FB3C25">
            <w:pPr>
              <w:numPr>
                <w:ilvl w:val="0"/>
                <w:numId w:val="7"/>
              </w:numPr>
              <w:spacing w:line="360" w:lineRule="auto"/>
              <w:rPr>
                <w:rStyle w:val="15"/>
                <w:rFonts w:ascii="宋体" w:hAnsi="宋体" w:cs="宋体"/>
                <w:b w:val="0"/>
                <w:color w:val="000000"/>
                <w:sz w:val="24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人员要求：项目团队≥3人，项目负责人具备中级及以上网络安全等级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测评师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证书，其他成员也应具备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测评师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lang w:bidi="ar"/>
              </w:rPr>
              <w:t>证书</w:t>
            </w:r>
            <w:r>
              <w:rPr>
                <w:rStyle w:val="15"/>
                <w:rFonts w:ascii="宋体" w:hAnsi="宋体" w:cs="宋体" w:hint="eastAsia"/>
                <w:b w:val="0"/>
                <w:color w:val="000000"/>
                <w:sz w:val="24"/>
                <w:lang w:bidi="ar"/>
              </w:rPr>
              <w:t>；</w:t>
            </w:r>
          </w:p>
          <w:p w14:paraId="7D082AF0" w14:textId="77777777" w:rsidR="00724776" w:rsidRDefault="00FB3C25">
            <w:pPr>
              <w:numPr>
                <w:ilvl w:val="0"/>
                <w:numId w:val="7"/>
              </w:numPr>
              <w:spacing w:line="360" w:lineRule="auto"/>
              <w:rPr>
                <w:rStyle w:val="15"/>
                <w:rFonts w:ascii="宋体" w:hAnsi="宋体" w:cs="宋体"/>
                <w:b w:val="0"/>
                <w:color w:val="000000"/>
                <w:sz w:val="24"/>
                <w:lang w:bidi="ar"/>
              </w:rPr>
            </w:pPr>
            <w:r>
              <w:rPr>
                <w:rStyle w:val="15"/>
                <w:rFonts w:ascii="宋体" w:hAnsi="宋体" w:cs="宋体" w:hint="eastAsia"/>
                <w:b w:val="0"/>
                <w:color w:val="000000"/>
                <w:sz w:val="24"/>
                <w:lang w:bidi="ar"/>
              </w:rPr>
              <w:t>驻场要求：测评阶段现场驻守天数不少于五个工作日</w:t>
            </w:r>
          </w:p>
          <w:p w14:paraId="4D960784" w14:textId="77777777" w:rsidR="00724776" w:rsidRDefault="00FB3C25">
            <w:pPr>
              <w:numPr>
                <w:ilvl w:val="0"/>
                <w:numId w:val="7"/>
              </w:numPr>
              <w:spacing w:line="360" w:lineRule="auto"/>
              <w:rPr>
                <w:rStyle w:val="15"/>
                <w:rFonts w:ascii="宋体" w:hAnsi="宋体" w:cs="宋体"/>
                <w:b w:val="0"/>
                <w:color w:val="000000"/>
                <w:sz w:val="24"/>
                <w:lang w:bidi="ar"/>
              </w:rPr>
            </w:pPr>
            <w:r>
              <w:rPr>
                <w:rStyle w:val="15"/>
                <w:rFonts w:ascii="宋体" w:hAnsi="宋体" w:cs="宋体" w:hint="eastAsia"/>
                <w:b w:val="0"/>
                <w:color w:val="000000"/>
                <w:sz w:val="24"/>
                <w:lang w:bidi="ar"/>
              </w:rPr>
              <w:t>交付成果：</w:t>
            </w:r>
          </w:p>
          <w:tbl>
            <w:tblPr>
              <w:tblW w:w="4388" w:type="pct"/>
              <w:tblInd w:w="345" w:type="dxa"/>
              <w:tblLook w:val="04A0" w:firstRow="1" w:lastRow="0" w:firstColumn="1" w:lastColumn="0" w:noHBand="0" w:noVBand="1"/>
            </w:tblPr>
            <w:tblGrid>
              <w:gridCol w:w="763"/>
              <w:gridCol w:w="2793"/>
              <w:gridCol w:w="2570"/>
              <w:gridCol w:w="1264"/>
            </w:tblGrid>
            <w:tr w:rsidR="00724776" w14:paraId="13C80F26" w14:textId="77777777">
              <w:trPr>
                <w:trHeight w:val="285"/>
              </w:trPr>
              <w:tc>
                <w:tcPr>
                  <w:tcW w:w="5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1A438B" w14:textId="77777777" w:rsidR="00724776" w:rsidRDefault="00FB3C25">
                  <w:pPr>
                    <w:jc w:val="center"/>
                    <w:textAlignment w:val="center"/>
                  </w:pPr>
                  <w:r>
                    <w:rPr>
                      <w:rFonts w:hint="eastAsia"/>
                      <w:lang w:bidi="ar"/>
                    </w:rPr>
                    <w:t>序号</w:t>
                  </w:r>
                </w:p>
              </w:tc>
              <w:tc>
                <w:tcPr>
                  <w:tcW w:w="18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9DF6E1" w14:textId="77777777" w:rsidR="00724776" w:rsidRDefault="00FB3C25">
                  <w:pPr>
                    <w:jc w:val="center"/>
                    <w:textAlignment w:val="center"/>
                  </w:pPr>
                  <w:r>
                    <w:rPr>
                      <w:rFonts w:hint="eastAsia"/>
                      <w:lang w:bidi="ar"/>
                    </w:rPr>
                    <w:t>交付成果</w:t>
                  </w:r>
                </w:p>
              </w:tc>
              <w:tc>
                <w:tcPr>
                  <w:tcW w:w="173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14BEDF" w14:textId="77777777" w:rsidR="00724776" w:rsidRDefault="00FB3C25">
                  <w:pPr>
                    <w:jc w:val="center"/>
                    <w:textAlignment w:val="center"/>
                  </w:pPr>
                  <w:r>
                    <w:rPr>
                      <w:rFonts w:hint="eastAsia"/>
                      <w:lang w:bidi="ar"/>
                    </w:rPr>
                    <w:t>交付形式</w:t>
                  </w:r>
                </w:p>
              </w:tc>
              <w:tc>
                <w:tcPr>
                  <w:tcW w:w="85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EB667F" w14:textId="77777777" w:rsidR="00724776" w:rsidRDefault="00FB3C25">
                  <w:pPr>
                    <w:jc w:val="center"/>
                    <w:textAlignment w:val="center"/>
                  </w:pPr>
                  <w:r>
                    <w:rPr>
                      <w:rFonts w:hint="eastAsia"/>
                      <w:lang w:bidi="ar"/>
                    </w:rPr>
                    <w:t>数量</w:t>
                  </w:r>
                </w:p>
              </w:tc>
            </w:tr>
            <w:tr w:rsidR="00724776" w14:paraId="2C0FDA6C" w14:textId="77777777">
              <w:trPr>
                <w:trHeight w:val="445"/>
              </w:trPr>
              <w:tc>
                <w:tcPr>
                  <w:tcW w:w="5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F9E5B0" w14:textId="77777777" w:rsidR="00724776" w:rsidRDefault="00FB3C25">
                  <w:pPr>
                    <w:textAlignment w:val="center"/>
                  </w:pPr>
                  <w:r>
                    <w:rPr>
                      <w:rFonts w:hint="eastAsia"/>
                      <w:lang w:bidi="ar"/>
                    </w:rPr>
                    <w:t>1</w:t>
                  </w:r>
                </w:p>
              </w:tc>
              <w:tc>
                <w:tcPr>
                  <w:tcW w:w="18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ED9CAE" w14:textId="77777777" w:rsidR="00724776" w:rsidRDefault="00FB3C25">
                  <w:pPr>
                    <w:textAlignment w:val="center"/>
                  </w:pPr>
                  <w:r>
                    <w:rPr>
                      <w:rFonts w:hint="eastAsia"/>
                      <w:lang w:bidi="ar"/>
                    </w:rPr>
                    <w:t>测评方案</w:t>
                  </w:r>
                </w:p>
              </w:tc>
              <w:tc>
                <w:tcPr>
                  <w:tcW w:w="173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A08FE9" w14:textId="77777777" w:rsidR="00724776" w:rsidRDefault="00FB3C25">
                  <w:pPr>
                    <w:textAlignment w:val="center"/>
                  </w:pPr>
                  <w:r>
                    <w:rPr>
                      <w:rFonts w:hint="eastAsia"/>
                      <w:lang w:bidi="ar"/>
                    </w:rPr>
                    <w:t>纸质</w:t>
                  </w:r>
                  <w:r>
                    <w:rPr>
                      <w:rFonts w:hint="eastAsia"/>
                      <w:lang w:bidi="ar"/>
                    </w:rPr>
                    <w:t>+</w:t>
                  </w:r>
                  <w:r>
                    <w:rPr>
                      <w:rFonts w:hint="eastAsia"/>
                      <w:lang w:bidi="ar"/>
                    </w:rPr>
                    <w:t>电子（盖章）</w:t>
                  </w:r>
                </w:p>
              </w:tc>
              <w:tc>
                <w:tcPr>
                  <w:tcW w:w="85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BDA92C" w14:textId="77777777" w:rsidR="00724776" w:rsidRDefault="00FB3C25">
                  <w:pPr>
                    <w:textAlignment w:val="center"/>
                  </w:pPr>
                  <w:r>
                    <w:rPr>
                      <w:rFonts w:hint="eastAsia"/>
                      <w:lang w:bidi="ar"/>
                    </w:rPr>
                    <w:t>各</w:t>
                  </w:r>
                  <w:r>
                    <w:rPr>
                      <w:rFonts w:hint="eastAsia"/>
                      <w:lang w:bidi="ar"/>
                    </w:rPr>
                    <w:t>1</w:t>
                  </w:r>
                  <w:r>
                    <w:rPr>
                      <w:rFonts w:hint="eastAsia"/>
                      <w:lang w:bidi="ar"/>
                    </w:rPr>
                    <w:t>套</w:t>
                  </w:r>
                </w:p>
              </w:tc>
            </w:tr>
            <w:tr w:rsidR="00724776" w14:paraId="7F050D98" w14:textId="77777777">
              <w:trPr>
                <w:trHeight w:val="555"/>
              </w:trPr>
              <w:tc>
                <w:tcPr>
                  <w:tcW w:w="5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B9CA78" w14:textId="77777777" w:rsidR="00724776" w:rsidRDefault="00FB3C25">
                  <w:pPr>
                    <w:textAlignment w:val="center"/>
                  </w:pPr>
                  <w:r>
                    <w:rPr>
                      <w:rFonts w:hint="eastAsia"/>
                      <w:lang w:bidi="ar"/>
                    </w:rPr>
                    <w:t>2</w:t>
                  </w:r>
                </w:p>
              </w:tc>
              <w:tc>
                <w:tcPr>
                  <w:tcW w:w="18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992D65" w14:textId="77777777" w:rsidR="00724776" w:rsidRDefault="00FB3C25">
                  <w:pPr>
                    <w:textAlignment w:val="center"/>
                  </w:pPr>
                  <w:r>
                    <w:rPr>
                      <w:rFonts w:hint="eastAsia"/>
                      <w:lang w:bidi="ar"/>
                    </w:rPr>
                    <w:t>整改建议书</w:t>
                  </w:r>
                </w:p>
              </w:tc>
              <w:tc>
                <w:tcPr>
                  <w:tcW w:w="173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6F4054" w14:textId="77777777" w:rsidR="00724776" w:rsidRDefault="00FB3C25">
                  <w:pPr>
                    <w:textAlignment w:val="center"/>
                  </w:pPr>
                  <w:r>
                    <w:rPr>
                      <w:rFonts w:hint="eastAsia"/>
                      <w:lang w:bidi="ar"/>
                    </w:rPr>
                    <w:t>纸质</w:t>
                  </w:r>
                  <w:r>
                    <w:rPr>
                      <w:rFonts w:hint="eastAsia"/>
                      <w:lang w:bidi="ar"/>
                    </w:rPr>
                    <w:t>+</w:t>
                  </w:r>
                  <w:r>
                    <w:rPr>
                      <w:rFonts w:hint="eastAsia"/>
                      <w:lang w:bidi="ar"/>
                    </w:rPr>
                    <w:t>电子（盖章）</w:t>
                  </w:r>
                </w:p>
              </w:tc>
              <w:tc>
                <w:tcPr>
                  <w:tcW w:w="85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0398AE" w14:textId="77777777" w:rsidR="00724776" w:rsidRDefault="00FB3C25">
                  <w:pPr>
                    <w:textAlignment w:val="center"/>
                  </w:pPr>
                  <w:r>
                    <w:rPr>
                      <w:rFonts w:hint="eastAsia"/>
                      <w:lang w:bidi="ar"/>
                    </w:rPr>
                    <w:t>各</w:t>
                  </w:r>
                  <w:r>
                    <w:rPr>
                      <w:rFonts w:hint="eastAsia"/>
                      <w:lang w:bidi="ar"/>
                    </w:rPr>
                    <w:t>1</w:t>
                  </w:r>
                  <w:r>
                    <w:rPr>
                      <w:rFonts w:hint="eastAsia"/>
                      <w:lang w:bidi="ar"/>
                    </w:rPr>
                    <w:t>套</w:t>
                  </w:r>
                </w:p>
              </w:tc>
            </w:tr>
            <w:tr w:rsidR="00724776" w14:paraId="24B89A5D" w14:textId="77777777">
              <w:trPr>
                <w:trHeight w:val="386"/>
              </w:trPr>
              <w:tc>
                <w:tcPr>
                  <w:tcW w:w="5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E77DDF" w14:textId="77777777" w:rsidR="00724776" w:rsidRDefault="00FB3C25">
                  <w:pPr>
                    <w:textAlignment w:val="center"/>
                  </w:pPr>
                  <w:r>
                    <w:rPr>
                      <w:rFonts w:hint="eastAsia"/>
                      <w:lang w:bidi="ar"/>
                    </w:rPr>
                    <w:t>3</w:t>
                  </w:r>
                </w:p>
              </w:tc>
              <w:tc>
                <w:tcPr>
                  <w:tcW w:w="18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D4C560" w14:textId="77777777" w:rsidR="00724776" w:rsidRDefault="00FB3C25">
                  <w:pPr>
                    <w:textAlignment w:val="center"/>
                  </w:pPr>
                  <w:proofErr w:type="gramStart"/>
                  <w:r>
                    <w:rPr>
                      <w:rFonts w:hint="eastAsia"/>
                      <w:lang w:bidi="ar"/>
                    </w:rPr>
                    <w:t>三级等保测评</w:t>
                  </w:r>
                  <w:proofErr w:type="gramEnd"/>
                  <w:r>
                    <w:rPr>
                      <w:rFonts w:hint="eastAsia"/>
                      <w:lang w:bidi="ar"/>
                    </w:rPr>
                    <w:t>报告</w:t>
                  </w:r>
                </w:p>
              </w:tc>
              <w:tc>
                <w:tcPr>
                  <w:tcW w:w="173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A4ED55" w14:textId="77777777" w:rsidR="00724776" w:rsidRDefault="00FB3C25">
                  <w:pPr>
                    <w:textAlignment w:val="center"/>
                  </w:pPr>
                  <w:r>
                    <w:rPr>
                      <w:rFonts w:hint="eastAsia"/>
                      <w:lang w:bidi="ar"/>
                    </w:rPr>
                    <w:t>纸质</w:t>
                  </w:r>
                  <w:r>
                    <w:rPr>
                      <w:rFonts w:hint="eastAsia"/>
                      <w:lang w:bidi="ar"/>
                    </w:rPr>
                    <w:t>+</w:t>
                  </w:r>
                  <w:r>
                    <w:rPr>
                      <w:rFonts w:hint="eastAsia"/>
                      <w:lang w:bidi="ar"/>
                    </w:rPr>
                    <w:t>电子（盖章）</w:t>
                  </w:r>
                </w:p>
              </w:tc>
              <w:tc>
                <w:tcPr>
                  <w:tcW w:w="85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31C0A8" w14:textId="77777777" w:rsidR="00724776" w:rsidRDefault="00FB3C25">
                  <w:pPr>
                    <w:textAlignment w:val="center"/>
                  </w:pPr>
                  <w:r>
                    <w:rPr>
                      <w:rFonts w:hint="eastAsia"/>
                      <w:lang w:bidi="ar"/>
                    </w:rPr>
                    <w:t>各</w:t>
                  </w:r>
                  <w:r>
                    <w:rPr>
                      <w:rFonts w:hint="eastAsia"/>
                      <w:lang w:bidi="ar"/>
                    </w:rPr>
                    <w:t>1</w:t>
                  </w:r>
                  <w:r>
                    <w:rPr>
                      <w:rFonts w:hint="eastAsia"/>
                      <w:lang w:bidi="ar"/>
                    </w:rPr>
                    <w:t>套</w:t>
                  </w:r>
                </w:p>
              </w:tc>
            </w:tr>
            <w:tr w:rsidR="00724776" w14:paraId="5BC856C5" w14:textId="77777777">
              <w:trPr>
                <w:trHeight w:val="407"/>
              </w:trPr>
              <w:tc>
                <w:tcPr>
                  <w:tcW w:w="5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06B780" w14:textId="77777777" w:rsidR="00724776" w:rsidRDefault="00FB3C25">
                  <w:pPr>
                    <w:textAlignment w:val="center"/>
                  </w:pPr>
                  <w:r>
                    <w:rPr>
                      <w:rFonts w:hint="eastAsia"/>
                      <w:lang w:bidi="ar"/>
                    </w:rPr>
                    <w:t>4</w:t>
                  </w:r>
                </w:p>
              </w:tc>
              <w:tc>
                <w:tcPr>
                  <w:tcW w:w="18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BAA1E8" w14:textId="77777777" w:rsidR="00724776" w:rsidRDefault="00FB3C25">
                  <w:pPr>
                    <w:textAlignment w:val="center"/>
                  </w:pPr>
                  <w:r>
                    <w:rPr>
                      <w:rFonts w:hint="eastAsia"/>
                      <w:lang w:bidi="ar"/>
                    </w:rPr>
                    <w:t>公安备案协助材料</w:t>
                  </w:r>
                </w:p>
              </w:tc>
              <w:tc>
                <w:tcPr>
                  <w:tcW w:w="173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E23D84" w14:textId="77777777" w:rsidR="00724776" w:rsidRDefault="00FB3C25">
                  <w:pPr>
                    <w:textAlignment w:val="center"/>
                  </w:pPr>
                  <w:r>
                    <w:rPr>
                      <w:rFonts w:hint="eastAsia"/>
                      <w:lang w:bidi="ar"/>
                    </w:rPr>
                    <w:t>纸质</w:t>
                  </w:r>
                  <w:r>
                    <w:rPr>
                      <w:rFonts w:hint="eastAsia"/>
                      <w:lang w:bidi="ar"/>
                    </w:rPr>
                    <w:t>+</w:t>
                  </w:r>
                  <w:r>
                    <w:rPr>
                      <w:rFonts w:hint="eastAsia"/>
                      <w:lang w:bidi="ar"/>
                    </w:rPr>
                    <w:t>电子（盖章）</w:t>
                  </w:r>
                </w:p>
              </w:tc>
              <w:tc>
                <w:tcPr>
                  <w:tcW w:w="85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5EAAB9" w14:textId="77777777" w:rsidR="00724776" w:rsidRDefault="00FB3C25">
                  <w:pPr>
                    <w:textAlignment w:val="center"/>
                  </w:pPr>
                  <w:r>
                    <w:rPr>
                      <w:rFonts w:hint="eastAsia"/>
                      <w:lang w:bidi="ar"/>
                    </w:rPr>
                    <w:t>各</w:t>
                  </w:r>
                  <w:r>
                    <w:rPr>
                      <w:rFonts w:hint="eastAsia"/>
                      <w:lang w:bidi="ar"/>
                    </w:rPr>
                    <w:t>1</w:t>
                  </w:r>
                  <w:r>
                    <w:rPr>
                      <w:rFonts w:hint="eastAsia"/>
                      <w:lang w:bidi="ar"/>
                    </w:rPr>
                    <w:t>套</w:t>
                  </w:r>
                </w:p>
              </w:tc>
            </w:tr>
          </w:tbl>
          <w:p w14:paraId="21CD3135" w14:textId="366450C2" w:rsidR="00724776" w:rsidRDefault="00724776">
            <w:pPr>
              <w:spacing w:line="360" w:lineRule="auto"/>
              <w:rPr>
                <w:rFonts w:ascii="宋体" w:hAnsi="宋体" w:hint="eastAsia"/>
                <w:sz w:val="24"/>
              </w:rPr>
            </w:pPr>
            <w:bookmarkStart w:id="4" w:name="_GoBack"/>
            <w:bookmarkEnd w:id="0"/>
            <w:bookmarkEnd w:id="1"/>
            <w:bookmarkEnd w:id="2"/>
            <w:bookmarkEnd w:id="4"/>
          </w:p>
        </w:tc>
      </w:tr>
      <w:tr w:rsidR="00724776" w14:paraId="4BBB34D4" w14:textId="77777777">
        <w:trPr>
          <w:trHeight w:val="3251"/>
        </w:trPr>
        <w:tc>
          <w:tcPr>
            <w:tcW w:w="1560" w:type="dxa"/>
          </w:tcPr>
          <w:p w14:paraId="581E52D6" w14:textId="77777777" w:rsidR="00724776" w:rsidRDefault="00724776">
            <w:pPr>
              <w:pStyle w:val="a9"/>
              <w:spacing w:line="360" w:lineRule="auto"/>
              <w:ind w:firstLineChars="0" w:firstLine="0"/>
              <w:rPr>
                <w:rFonts w:hAnsi="宋体"/>
                <w:color w:val="auto"/>
                <w:sz w:val="24"/>
              </w:rPr>
            </w:pPr>
          </w:p>
        </w:tc>
        <w:tc>
          <w:tcPr>
            <w:tcW w:w="8647" w:type="dxa"/>
            <w:vMerge/>
          </w:tcPr>
          <w:p w14:paraId="0C3F8DA5" w14:textId="77777777" w:rsidR="00724776" w:rsidRDefault="00724776">
            <w:pPr>
              <w:pStyle w:val="a9"/>
              <w:spacing w:line="360" w:lineRule="auto"/>
              <w:ind w:firstLineChars="0" w:firstLine="0"/>
              <w:rPr>
                <w:rFonts w:hAnsi="宋体"/>
                <w:color w:val="auto"/>
                <w:sz w:val="24"/>
              </w:rPr>
            </w:pPr>
          </w:p>
        </w:tc>
      </w:tr>
    </w:tbl>
    <w:p w14:paraId="78142A5D" w14:textId="77777777" w:rsidR="00724776" w:rsidRDefault="00724776">
      <w:pPr>
        <w:pStyle w:val="a9"/>
        <w:spacing w:line="580" w:lineRule="exact"/>
        <w:ind w:firstLineChars="0" w:firstLine="0"/>
        <w:rPr>
          <w:rFonts w:ascii="Times New Roman" w:eastAsia="方正仿宋_GBK" w:hAnsi="Times New Roman" w:cs="Times New Roman"/>
          <w:bCs/>
          <w:color w:val="auto"/>
          <w:kern w:val="0"/>
          <w:sz w:val="32"/>
          <w:szCs w:val="32"/>
        </w:rPr>
      </w:pPr>
    </w:p>
    <w:sectPr w:rsidR="00724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00"/>
    <w:family w:val="auto"/>
    <w:pitch w:val="default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">
    <w:altName w:val="仿宋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FF6B60"/>
    <w:multiLevelType w:val="multilevel"/>
    <w:tmpl w:val="95FF6B6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CA4B4566"/>
    <w:multiLevelType w:val="multilevel"/>
    <w:tmpl w:val="CA4B456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E5BC99E3"/>
    <w:multiLevelType w:val="multilevel"/>
    <w:tmpl w:val="E5BC99E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chineseCounting"/>
      <w:pStyle w:val="1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宋体" w:hint="eastAsia"/>
        <w:sz w:val="32"/>
      </w:rPr>
    </w:lvl>
    <w:lvl w:ilvl="1">
      <w:start w:val="1"/>
      <w:numFmt w:val="chineseCounting"/>
      <w:pStyle w:val="2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ascii="Times New Roman" w:eastAsia="楷体_GB2312" w:hAnsi="Times New Roman" w:cs="宋体" w:hint="eastAsia"/>
        <w:b/>
        <w:sz w:val="32"/>
      </w:rPr>
    </w:lvl>
    <w:lvl w:ilvl="2">
      <w:start w:val="1"/>
      <w:numFmt w:val="decimal"/>
      <w:pStyle w:val="3"/>
      <w:suff w:val="nothing"/>
      <w:lvlText w:val="%3．"/>
      <w:lvlJc w:val="left"/>
      <w:pPr>
        <w:tabs>
          <w:tab w:val="left" w:pos="0"/>
        </w:tabs>
        <w:ind w:left="0" w:firstLine="0"/>
      </w:pPr>
      <w:rPr>
        <w:rFonts w:ascii="Times New Roman" w:eastAsia="仿宋_GB2312" w:hAnsi="Times New Roman" w:cs="宋体" w:hint="eastAsia"/>
        <w:b/>
        <w:sz w:val="32"/>
      </w:rPr>
    </w:lvl>
    <w:lvl w:ilvl="3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0"/>
      </w:pPr>
      <w:rPr>
        <w:rFonts w:ascii="Times New Roman" w:eastAsia="仿宋_GB2312" w:hAnsi="Times New Roman" w:cs="宋体" w:hint="eastAsia"/>
        <w:sz w:val="32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4" w15:restartNumberingAfterBreak="0">
    <w:nsid w:val="00000006"/>
    <w:multiLevelType w:val="singleLevel"/>
    <w:tmpl w:val="0000000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00000009"/>
    <w:multiLevelType w:val="singleLevel"/>
    <w:tmpl w:val="00000009"/>
    <w:lvl w:ilvl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6" w15:restartNumberingAfterBreak="0">
    <w:nsid w:val="7D654983"/>
    <w:multiLevelType w:val="singleLevel"/>
    <w:tmpl w:val="7D654983"/>
    <w:lvl w:ilvl="0">
      <w:start w:val="1"/>
      <w:numFmt w:val="decimal"/>
      <w:lvlText w:val="%1."/>
      <w:lvlJc w:val="left"/>
      <w:pPr>
        <w:tabs>
          <w:tab w:val="left" w:pos="312"/>
        </w:tabs>
        <w:ind w:left="602" w:firstLine="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84"/>
    <w:rsid w:val="0015664A"/>
    <w:rsid w:val="004B6FFB"/>
    <w:rsid w:val="00724776"/>
    <w:rsid w:val="0092461D"/>
    <w:rsid w:val="009D1A84"/>
    <w:rsid w:val="00FA7B20"/>
    <w:rsid w:val="00FB3C25"/>
    <w:rsid w:val="02D05560"/>
    <w:rsid w:val="04223B99"/>
    <w:rsid w:val="056511C3"/>
    <w:rsid w:val="05FD666C"/>
    <w:rsid w:val="07322345"/>
    <w:rsid w:val="074D53D1"/>
    <w:rsid w:val="07DE5F47"/>
    <w:rsid w:val="08762705"/>
    <w:rsid w:val="08B45463"/>
    <w:rsid w:val="0B4F024F"/>
    <w:rsid w:val="0B6131F9"/>
    <w:rsid w:val="0CBB4B8B"/>
    <w:rsid w:val="0E056A05"/>
    <w:rsid w:val="0E6F0323"/>
    <w:rsid w:val="10914580"/>
    <w:rsid w:val="12853EB3"/>
    <w:rsid w:val="13C62793"/>
    <w:rsid w:val="14DE58BA"/>
    <w:rsid w:val="151C7F6C"/>
    <w:rsid w:val="15D72331"/>
    <w:rsid w:val="16836C69"/>
    <w:rsid w:val="169F1079"/>
    <w:rsid w:val="16F75359"/>
    <w:rsid w:val="17283764"/>
    <w:rsid w:val="17FB49D5"/>
    <w:rsid w:val="1822633E"/>
    <w:rsid w:val="188B3FAB"/>
    <w:rsid w:val="19766A09"/>
    <w:rsid w:val="1ABF39A0"/>
    <w:rsid w:val="1B9A5ADF"/>
    <w:rsid w:val="1FE22B7B"/>
    <w:rsid w:val="2059673D"/>
    <w:rsid w:val="21B06830"/>
    <w:rsid w:val="2233121D"/>
    <w:rsid w:val="230E380E"/>
    <w:rsid w:val="23D42CAA"/>
    <w:rsid w:val="24F71C15"/>
    <w:rsid w:val="27814EF7"/>
    <w:rsid w:val="280414D2"/>
    <w:rsid w:val="28133675"/>
    <w:rsid w:val="28D7226D"/>
    <w:rsid w:val="291907D3"/>
    <w:rsid w:val="2967011C"/>
    <w:rsid w:val="297B5976"/>
    <w:rsid w:val="2AC1385C"/>
    <w:rsid w:val="2ACF5F79"/>
    <w:rsid w:val="2AE35581"/>
    <w:rsid w:val="2CF11DB0"/>
    <w:rsid w:val="2E46260F"/>
    <w:rsid w:val="2ED578D6"/>
    <w:rsid w:val="2EF57F78"/>
    <w:rsid w:val="2FDA78F1"/>
    <w:rsid w:val="308C2216"/>
    <w:rsid w:val="31010E56"/>
    <w:rsid w:val="32036508"/>
    <w:rsid w:val="326C7146"/>
    <w:rsid w:val="3333770A"/>
    <w:rsid w:val="33A45639"/>
    <w:rsid w:val="346F4329"/>
    <w:rsid w:val="3491604D"/>
    <w:rsid w:val="36A24542"/>
    <w:rsid w:val="38B844F1"/>
    <w:rsid w:val="394144E6"/>
    <w:rsid w:val="398C14D9"/>
    <w:rsid w:val="3A647D60"/>
    <w:rsid w:val="3A971EE4"/>
    <w:rsid w:val="3C430575"/>
    <w:rsid w:val="3DBF59D9"/>
    <w:rsid w:val="3E18333B"/>
    <w:rsid w:val="3F1C6E5B"/>
    <w:rsid w:val="41173D7E"/>
    <w:rsid w:val="411E335F"/>
    <w:rsid w:val="41317350"/>
    <w:rsid w:val="42F75C15"/>
    <w:rsid w:val="430A3B9B"/>
    <w:rsid w:val="431D6A6A"/>
    <w:rsid w:val="45790B64"/>
    <w:rsid w:val="4622744D"/>
    <w:rsid w:val="47040AE9"/>
    <w:rsid w:val="47F92430"/>
    <w:rsid w:val="482079BC"/>
    <w:rsid w:val="49883FFC"/>
    <w:rsid w:val="4B201A81"/>
    <w:rsid w:val="4CD40D75"/>
    <w:rsid w:val="4D5325E2"/>
    <w:rsid w:val="4E6323B1"/>
    <w:rsid w:val="4EF62566"/>
    <w:rsid w:val="4FEE18E2"/>
    <w:rsid w:val="50534099"/>
    <w:rsid w:val="5099655E"/>
    <w:rsid w:val="519B00B4"/>
    <w:rsid w:val="52854FEC"/>
    <w:rsid w:val="532760A3"/>
    <w:rsid w:val="53487DC7"/>
    <w:rsid w:val="54741EC7"/>
    <w:rsid w:val="54B0031A"/>
    <w:rsid w:val="54D2203E"/>
    <w:rsid w:val="55450A62"/>
    <w:rsid w:val="5664375F"/>
    <w:rsid w:val="56CC00BF"/>
    <w:rsid w:val="5AB126F6"/>
    <w:rsid w:val="5C2F5FC8"/>
    <w:rsid w:val="5D3E5D08"/>
    <w:rsid w:val="5E916EEA"/>
    <w:rsid w:val="5F7268F8"/>
    <w:rsid w:val="61356498"/>
    <w:rsid w:val="62015D11"/>
    <w:rsid w:val="65910ABC"/>
    <w:rsid w:val="66234704"/>
    <w:rsid w:val="666B4808"/>
    <w:rsid w:val="67E4235D"/>
    <w:rsid w:val="68594AF9"/>
    <w:rsid w:val="69BA3375"/>
    <w:rsid w:val="69F50851"/>
    <w:rsid w:val="6B572E46"/>
    <w:rsid w:val="6C44786E"/>
    <w:rsid w:val="6F2624CB"/>
    <w:rsid w:val="6F482457"/>
    <w:rsid w:val="70B34FC2"/>
    <w:rsid w:val="712927CD"/>
    <w:rsid w:val="727D7636"/>
    <w:rsid w:val="736A4F33"/>
    <w:rsid w:val="73EF4563"/>
    <w:rsid w:val="75815F43"/>
    <w:rsid w:val="765661D4"/>
    <w:rsid w:val="768B648C"/>
    <w:rsid w:val="76CA0970"/>
    <w:rsid w:val="77DC6BAC"/>
    <w:rsid w:val="77ED0DBA"/>
    <w:rsid w:val="799C2A97"/>
    <w:rsid w:val="7BB75966"/>
    <w:rsid w:val="7FB3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A9A32"/>
  <w15:docId w15:val="{05FDEA82-8EBA-40AC-AA60-E097C6C0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Body Text First Indent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next w:val="a"/>
    <w:link w:val="10"/>
    <w:qFormat/>
    <w:pPr>
      <w:keepNext/>
      <w:keepLines/>
      <w:numPr>
        <w:numId w:val="1"/>
      </w:numPr>
      <w:spacing w:before="340" w:after="330" w:line="360" w:lineRule="auto"/>
      <w:jc w:val="both"/>
      <w:outlineLvl w:val="0"/>
    </w:pPr>
    <w:rPr>
      <w:rFonts w:eastAsia="黑体" w:cs="宋体"/>
      <w:kern w:val="44"/>
      <w:sz w:val="32"/>
    </w:rPr>
  </w:style>
  <w:style w:type="paragraph" w:styleId="2">
    <w:name w:val="heading 2"/>
    <w:next w:val="a"/>
    <w:link w:val="20"/>
    <w:qFormat/>
    <w:pPr>
      <w:numPr>
        <w:ilvl w:val="1"/>
        <w:numId w:val="1"/>
      </w:numPr>
      <w:spacing w:before="260" w:after="260" w:line="413" w:lineRule="auto"/>
      <w:outlineLvl w:val="1"/>
    </w:pPr>
    <w:rPr>
      <w:rFonts w:eastAsia="楷体_GB2312" w:cs="宋体"/>
      <w:b/>
      <w:sz w:val="32"/>
    </w:rPr>
  </w:style>
  <w:style w:type="paragraph" w:styleId="3">
    <w:name w:val="heading 3"/>
    <w:next w:val="a"/>
    <w:link w:val="30"/>
    <w:qFormat/>
    <w:pPr>
      <w:widowControl w:val="0"/>
      <w:numPr>
        <w:ilvl w:val="2"/>
        <w:numId w:val="1"/>
      </w:numPr>
      <w:spacing w:before="260" w:after="260" w:line="413" w:lineRule="auto"/>
      <w:outlineLvl w:val="2"/>
    </w:pPr>
    <w:rPr>
      <w:rFonts w:eastAsia="仿宋_GB2312" w:cs="宋体"/>
      <w:b/>
      <w:sz w:val="32"/>
    </w:rPr>
  </w:style>
  <w:style w:type="paragraph" w:styleId="4">
    <w:name w:val="heading 4"/>
    <w:basedOn w:val="a"/>
    <w:next w:val="a"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rFonts w:ascii="Times New Roman" w:eastAsia="方正仿宋" w:hAnsi="Times New Roman" w:cs="Times New Roman"/>
      <w:sz w:val="32"/>
    </w:rPr>
  </w:style>
  <w:style w:type="paragraph" w:styleId="a5">
    <w:name w:val="Body Text"/>
    <w:basedOn w:val="a"/>
    <w:uiPriority w:val="99"/>
    <w:qFormat/>
    <w:rPr>
      <w:rFonts w:ascii="宋体"/>
      <w:color w:val="000000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Body Text First Indent"/>
    <w:basedOn w:val="a5"/>
    <w:uiPriority w:val="99"/>
    <w:qFormat/>
    <w:pPr>
      <w:tabs>
        <w:tab w:val="left" w:pos="0"/>
      </w:tabs>
      <w:ind w:firstLineChars="100" w:firstLine="420"/>
    </w:p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paragraph" w:customStyle="1" w:styleId="022">
    <w:name w:val="02、首行缩进2字符正文"/>
    <w:basedOn w:val="a"/>
    <w:qFormat/>
    <w:pPr>
      <w:tabs>
        <w:tab w:val="left" w:pos="0"/>
      </w:tabs>
      <w:wordWrap w:val="0"/>
      <w:topLinePunct/>
      <w:ind w:firstLineChars="200" w:firstLine="480"/>
    </w:pPr>
  </w:style>
  <w:style w:type="paragraph" w:customStyle="1" w:styleId="032">
    <w:name w:val="03、“注：”正文(加粗，首行缩进2字符)"/>
    <w:basedOn w:val="01"/>
    <w:qFormat/>
    <w:pPr>
      <w:ind w:firstLineChars="200" w:firstLine="480"/>
    </w:pPr>
    <w:rPr>
      <w:b/>
    </w:rPr>
  </w:style>
  <w:style w:type="paragraph" w:customStyle="1" w:styleId="01">
    <w:name w:val="01、普通正文"/>
    <w:basedOn w:val="a"/>
    <w:qFormat/>
    <w:pPr>
      <w:tabs>
        <w:tab w:val="left" w:pos="0"/>
      </w:tabs>
      <w:wordWrap w:val="0"/>
      <w:topLinePunct/>
    </w:pPr>
    <w:rPr>
      <w:snapToGrid w:val="0"/>
    </w:rPr>
  </w:style>
  <w:style w:type="paragraph" w:customStyle="1" w:styleId="UserStyle0">
    <w:name w:val="UserStyle_0"/>
    <w:basedOn w:val="a"/>
    <w:qFormat/>
    <w:pPr>
      <w:snapToGrid w:val="0"/>
      <w:spacing w:before="100" w:beforeAutospacing="1" w:after="100" w:afterAutospacing="1" w:line="440" w:lineRule="exact"/>
    </w:pPr>
    <w:rPr>
      <w:rFonts w:ascii="Times New Roman" w:hAnsi="Times New Roman" w:cs="Times New Roman"/>
      <w:bCs/>
      <w:color w:val="000000"/>
    </w:rPr>
  </w:style>
  <w:style w:type="character" w:customStyle="1" w:styleId="a7">
    <w:name w:val="批注框文本 字符"/>
    <w:basedOn w:val="a0"/>
    <w:link w:val="a6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eastAsia="方正仿宋"/>
      <w:kern w:val="2"/>
      <w:sz w:val="32"/>
      <w:szCs w:val="24"/>
    </w:rPr>
  </w:style>
  <w:style w:type="paragraph" w:customStyle="1" w:styleId="Style4">
    <w:name w:val="_Style 4"/>
    <w:basedOn w:val="a"/>
    <w:qFormat/>
    <w:rPr>
      <w:rFonts w:ascii="Times New Roman" w:eastAsia="方正仿宋" w:hAnsi="Times New Roman" w:cs="Times New Roman"/>
      <w:sz w:val="32"/>
      <w:szCs w:val="32"/>
    </w:rPr>
  </w:style>
  <w:style w:type="character" w:customStyle="1" w:styleId="10">
    <w:name w:val="标题 1 字符"/>
    <w:basedOn w:val="a0"/>
    <w:link w:val="1"/>
    <w:qFormat/>
    <w:rPr>
      <w:rFonts w:eastAsia="黑体" w:cs="宋体"/>
      <w:kern w:val="44"/>
      <w:sz w:val="32"/>
    </w:rPr>
  </w:style>
  <w:style w:type="character" w:customStyle="1" w:styleId="20">
    <w:name w:val="标题 2 字符"/>
    <w:basedOn w:val="a0"/>
    <w:link w:val="2"/>
    <w:qFormat/>
    <w:rPr>
      <w:rFonts w:eastAsia="楷体_GB2312" w:cs="宋体"/>
      <w:b/>
      <w:sz w:val="32"/>
    </w:rPr>
  </w:style>
  <w:style w:type="character" w:customStyle="1" w:styleId="30">
    <w:name w:val="标题 3 字符"/>
    <w:basedOn w:val="a0"/>
    <w:link w:val="3"/>
    <w:qFormat/>
    <w:rPr>
      <w:rFonts w:eastAsia="仿宋_GB2312" w:cs="宋体"/>
      <w:b/>
      <w:sz w:val="32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paragraph" w:customStyle="1" w:styleId="null3">
    <w:name w:val="null3"/>
    <w:qFormat/>
    <w:rPr>
      <w:rFonts w:ascii="Calibri" w:hAnsi="Calibri" w:cs="宋体" w:hint="eastAsia"/>
    </w:rPr>
  </w:style>
  <w:style w:type="character" w:customStyle="1" w:styleId="15">
    <w:name w:val="15"/>
    <w:basedOn w:val="a0"/>
    <w:rPr>
      <w:rFonts w:ascii="Times New Roman" w:hAnsi="Times New Roman" w:cs="Times New Roman" w:hint="default"/>
      <w:b/>
    </w:rPr>
  </w:style>
  <w:style w:type="character" w:customStyle="1" w:styleId="100">
    <w:name w:val="10"/>
    <w:basedOn w:val="a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</dc:creator>
  <cp:lastModifiedBy>john</cp:lastModifiedBy>
  <cp:revision>3</cp:revision>
  <cp:lastPrinted>2026-06-05T07:19:00Z</cp:lastPrinted>
  <dcterms:created xsi:type="dcterms:W3CDTF">2026-06-11T06:42:00Z</dcterms:created>
  <dcterms:modified xsi:type="dcterms:W3CDTF">2026-06-11T07:56:00Z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eyJoZGlkIjoiZDU0YzRkMjU3ZDhjZjgxMTYxMjdhOGI5ZTM0YjA1OTMiLCJ1c2VySWQiOiI0MjE5ODcxMDEifQ==</vt:lpwstr>
  </property>
  <property fmtid="{D5CDD505-2E9C-101B-9397-08002B2CF9AE}" pid="4" name="ICV">
    <vt:lpwstr>8764df462caa4e3b8cadfb321efb3cee_23</vt:lpwstr>
  </property>
</Properties>
</file>