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78343">
      <w:pPr>
        <w:spacing w:line="60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0616DF6A">
      <w:pPr>
        <w:widowControl/>
        <w:shd w:val="clear" w:color="auto" w:fill="FFFFFF"/>
        <w:spacing w:line="600" w:lineRule="exact"/>
        <w:jc w:val="center"/>
        <w:rPr>
          <w:rFonts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</w:p>
    <w:p w14:paraId="518E68B7">
      <w:pPr>
        <w:widowControl/>
        <w:shd w:val="clear" w:color="auto" w:fill="FFFFFF"/>
        <w:spacing w:line="60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锦里壹号院片区景观提升及业态规划导则服务项目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采购需求</w:t>
      </w:r>
    </w:p>
    <w:p w14:paraId="13C1D06F">
      <w:pPr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</w:p>
    <w:p w14:paraId="2EA1CD87">
      <w:pPr>
        <w:numPr>
          <w:ilvl w:val="0"/>
          <w:numId w:val="1"/>
        </w:numPr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项目概况</w:t>
      </w:r>
    </w:p>
    <w:p w14:paraId="110BAF1B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（一）项目名称：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锦里壹号院片区景观提升及业态规划导则服务项目</w:t>
      </w:r>
    </w:p>
    <w:p w14:paraId="65855D04">
      <w:pPr>
        <w:spacing w:line="60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（二）项目背景</w:t>
      </w:r>
      <w:r>
        <w:rPr>
          <w:rFonts w:ascii="方正楷体_GBK" w:hAnsi="方正楷体_GBK" w:eastAsia="方正楷体_GBK" w:cs="方正楷体_GBK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锦里壹号院片区占地面积约1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3万平方米，其中建筑面积约41</w:t>
      </w:r>
      <w:r>
        <w:rPr>
          <w:rFonts w:ascii="Times New Roman" w:hAnsi="Times New Roman" w:eastAsia="方正仿宋_GBK" w:cs="Times New Roman"/>
          <w:sz w:val="32"/>
          <w:szCs w:val="32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0平方米，公共区域面积约</w:t>
      </w:r>
      <w:r>
        <w:rPr>
          <w:rFonts w:ascii="Times New Roman" w:hAnsi="Times New Roman" w:eastAsia="方正仿宋_GBK" w:cs="Times New Roman"/>
          <w:sz w:val="32"/>
          <w:szCs w:val="32"/>
        </w:rPr>
        <w:t>8900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平方米。锦里壹号院片区约占锦里总面积的四分之一，位于锦里街区末端且相对独立，是打造三国文化演艺场景、培育创新发展新业态的关键性区域，对延长游客在锦里的游览时间，拉动街区文旅消费、提升锦里品牌形象具有重要意义。为科学指导锦里</w:t>
      </w:r>
      <w:r>
        <w:rPr>
          <w:rFonts w:ascii="Times New Roman" w:hAnsi="Times New Roman" w:eastAsia="方正仿宋_GBK" w:cs="Times New Roman"/>
          <w:sz w:val="32"/>
          <w:szCs w:val="32"/>
        </w:rPr>
        <w:t>壹号院片区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后续发展，需编制《锦里文化旅游街区壹号院片区景观提升及业态规划导则》。</w:t>
      </w:r>
    </w:p>
    <w:p w14:paraId="5CF4E4D2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</w:t>
      </w:r>
      <w:r>
        <w:rPr>
          <w:rFonts w:ascii="方正楷体_GBK" w:hAnsi="方正楷体_GBK" w:eastAsia="方正楷体_GBK" w:cs="方正楷体_GBK"/>
          <w:sz w:val="32"/>
          <w:szCs w:val="32"/>
        </w:rPr>
        <w:t>项目地址：</w:t>
      </w:r>
      <w:r>
        <w:rPr>
          <w:rFonts w:ascii="Times New Roman" w:hAnsi="Times New Roman" w:eastAsia="方正仿宋_GB2312" w:cs="Times New Roman"/>
          <w:sz w:val="32"/>
          <w:szCs w:val="32"/>
        </w:rPr>
        <w:t>成都市武侯区武侯祠大街231号</w:t>
      </w:r>
      <w:r>
        <w:rPr>
          <w:rFonts w:hint="eastAsia" w:ascii="方正仿宋_GBK" w:hAnsi="宋体" w:eastAsia="方正仿宋_GBK" w:cs="宋体"/>
          <w:sz w:val="32"/>
          <w:szCs w:val="32"/>
        </w:rPr>
        <w:t>附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1号锦里文化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旅游街区锦里壹号院片区</w:t>
      </w:r>
    </w:p>
    <w:p w14:paraId="17E3E96E">
      <w:pPr>
        <w:spacing w:line="600" w:lineRule="exact"/>
        <w:ind w:firstLine="640" w:firstLineChars="200"/>
        <w:rPr>
          <w:rFonts w:hint="default" w:ascii="方正楷体_GBK" w:hAnsi="方正楷体_GBK" w:eastAsia="方正楷体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Times New Roman"/>
          <w:sz w:val="32"/>
          <w:szCs w:val="32"/>
        </w:rPr>
        <w:t>（四）</w:t>
      </w:r>
      <w:r>
        <w:rPr>
          <w:rFonts w:hint="eastAsia" w:ascii="方正楷体_GBK" w:hAnsi="方正楷体_GBK" w:eastAsia="方正楷体_GBK" w:cs="Times New Roman"/>
          <w:sz w:val="32"/>
          <w:szCs w:val="32"/>
          <w:lang w:eastAsia="zh-CN"/>
        </w:rPr>
        <w:t>项目预算：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4.6万元</w:t>
      </w:r>
    </w:p>
    <w:p w14:paraId="04E003CB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Times New Roman"/>
          <w:sz w:val="32"/>
          <w:szCs w:val="32"/>
          <w:lang w:eastAsia="zh-CN"/>
        </w:rPr>
        <w:t>（五）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服务期限</w:t>
      </w:r>
      <w:r>
        <w:rPr>
          <w:rFonts w:ascii="方正楷体_GBK" w:hAnsi="方正楷体_GBK" w:eastAsia="方正楷体_GBK" w:cs="方正楷体_GBK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合同签订日起60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个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日历天</w:t>
      </w:r>
      <w:r>
        <w:rPr>
          <w:rFonts w:ascii="Times New Roman" w:hAnsi="Times New Roman" w:eastAsia="方正仿宋_GBK" w:cs="Times New Roman"/>
          <w:sz w:val="32"/>
          <w:szCs w:val="32"/>
        </w:rPr>
        <w:t>内完成。</w:t>
      </w:r>
    </w:p>
    <w:p w14:paraId="63A4E7BD">
      <w:pPr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二、项目需求</w:t>
      </w:r>
    </w:p>
    <w:p w14:paraId="762495E1">
      <w:pPr>
        <w:pStyle w:val="2"/>
        <w:spacing w:after="0" w:line="60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（一）内容要求</w:t>
      </w:r>
    </w:p>
    <w:p w14:paraId="4A5D391C">
      <w:pPr>
        <w:pStyle w:val="2"/>
        <w:spacing w:after="0" w:line="600" w:lineRule="exact"/>
        <w:ind w:firstLine="640" w:firstLineChars="200"/>
        <w:rPr>
          <w:rFonts w:ascii="方正仿宋_GBK" w:hAnsi="方正楷体_GBK" w:eastAsia="方正仿宋_GBK" w:cs="方正楷体_GBK"/>
          <w:sz w:val="32"/>
          <w:szCs w:val="32"/>
        </w:rPr>
      </w:pPr>
      <w:r>
        <w:rPr>
          <w:rFonts w:hint="eastAsia" w:ascii="方正仿宋_GBK" w:hAnsi="方正楷体_GBK" w:eastAsia="方正仿宋_GBK" w:cs="方正楷体_GBK"/>
          <w:sz w:val="32"/>
          <w:szCs w:val="32"/>
        </w:rPr>
        <w:t>完成《锦里壹号院片区景观提升及业态规划导则》（以下简称</w:t>
      </w:r>
      <w:r>
        <w:rPr>
          <w:rFonts w:ascii="方正仿宋_GBK" w:hAnsi="方正楷体_GBK" w:eastAsia="方正仿宋_GBK" w:cs="方正楷体_GBK"/>
          <w:sz w:val="32"/>
          <w:szCs w:val="32"/>
        </w:rPr>
        <w:t>“</w:t>
      </w:r>
      <w:r>
        <w:rPr>
          <w:rFonts w:hint="eastAsia" w:ascii="方正仿宋_GBK" w:hAnsi="方正楷体_GBK" w:eastAsia="方正仿宋_GBK" w:cs="方正楷体_GBK"/>
          <w:sz w:val="32"/>
          <w:szCs w:val="32"/>
        </w:rPr>
        <w:t>导则</w:t>
      </w:r>
      <w:r>
        <w:rPr>
          <w:rFonts w:ascii="方正仿宋_GBK" w:hAnsi="方正楷体_GBK" w:eastAsia="方正仿宋_GBK" w:cs="方正楷体_GBK"/>
          <w:sz w:val="32"/>
          <w:szCs w:val="32"/>
        </w:rPr>
        <w:t>”</w:t>
      </w:r>
      <w:r>
        <w:rPr>
          <w:rFonts w:hint="eastAsia" w:ascii="方正仿宋_GBK" w:hAnsi="方正楷体_GBK" w:eastAsia="方正仿宋_GBK" w:cs="方正楷体_GBK"/>
          <w:sz w:val="32"/>
          <w:szCs w:val="32"/>
        </w:rPr>
        <w:t>）编制</w:t>
      </w:r>
      <w:r>
        <w:rPr>
          <w:rFonts w:ascii="方正仿宋_GBK" w:hAnsi="方正楷体_GBK" w:eastAsia="方正仿宋_GBK" w:cs="方正楷体_GBK"/>
          <w:sz w:val="32"/>
          <w:szCs w:val="32"/>
        </w:rPr>
        <w:t>，</w:t>
      </w:r>
      <w:r>
        <w:rPr>
          <w:rFonts w:hint="eastAsia" w:ascii="方正仿宋_GBK" w:hAnsi="方正楷体_GBK" w:eastAsia="方正仿宋_GBK" w:cs="方正楷体_GBK"/>
          <w:sz w:val="32"/>
          <w:szCs w:val="32"/>
        </w:rPr>
        <w:t>包含现状调研、分析策划、文本编制、图集绘制工作，具体文本内容应涵盖以下章节：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976"/>
        <w:gridCol w:w="4445"/>
      </w:tblGrid>
      <w:tr w14:paraId="1824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58230378">
            <w:pPr>
              <w:pStyle w:val="2"/>
              <w:spacing w:after="0" w:line="440" w:lineRule="exact"/>
              <w:jc w:val="center"/>
              <w:rPr>
                <w:rFonts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序号</w:t>
            </w:r>
          </w:p>
        </w:tc>
        <w:tc>
          <w:tcPr>
            <w:tcW w:w="2976" w:type="dxa"/>
            <w:vAlign w:val="center"/>
          </w:tcPr>
          <w:p w14:paraId="5248F9B2">
            <w:pPr>
              <w:pStyle w:val="2"/>
              <w:spacing w:after="0" w:line="440" w:lineRule="exact"/>
              <w:jc w:val="center"/>
              <w:rPr>
                <w:rFonts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章节</w:t>
            </w:r>
          </w:p>
        </w:tc>
        <w:tc>
          <w:tcPr>
            <w:tcW w:w="4445" w:type="dxa"/>
            <w:vAlign w:val="center"/>
          </w:tcPr>
          <w:p w14:paraId="549FF91B">
            <w:pPr>
              <w:pStyle w:val="2"/>
              <w:spacing w:after="0" w:line="440" w:lineRule="exact"/>
              <w:jc w:val="center"/>
              <w:rPr>
                <w:rFonts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核心编制要求</w:t>
            </w:r>
          </w:p>
        </w:tc>
      </w:tr>
      <w:tr w14:paraId="5810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459105A8">
            <w:pPr>
              <w:pStyle w:val="2"/>
              <w:spacing w:after="0" w:line="440" w:lineRule="exact"/>
              <w:jc w:val="center"/>
              <w:rPr>
                <w:rFonts w:hAnsi="Times New Roman" w:eastAsia="方正仿宋_GBK" w:cs="Times New Roman"/>
                <w:sz w:val="28"/>
                <w:szCs w:val="28"/>
              </w:rPr>
            </w:pPr>
            <w:r>
              <w:rPr>
                <w:rFonts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14:paraId="6792E6A1">
            <w:pPr>
              <w:pStyle w:val="2"/>
              <w:spacing w:after="0" w:line="440" w:lineRule="exact"/>
              <w:jc w:val="center"/>
              <w:rPr>
                <w:rFonts w:hAnsi="Times New Roman" w:eastAsia="方正仿宋_GBK" w:cs="Times New Roman"/>
                <w:sz w:val="28"/>
                <w:szCs w:val="28"/>
              </w:rPr>
            </w:pPr>
            <w:r>
              <w:rPr>
                <w:rFonts w:hAnsi="Times New Roman" w:eastAsia="方正仿宋_GBK" w:cs="Times New Roman"/>
                <w:sz w:val="28"/>
                <w:szCs w:val="28"/>
              </w:rPr>
              <w:t>项目背景</w:t>
            </w:r>
          </w:p>
        </w:tc>
        <w:tc>
          <w:tcPr>
            <w:tcW w:w="4445" w:type="dxa"/>
            <w:vAlign w:val="center"/>
          </w:tcPr>
          <w:p w14:paraId="09A69E36">
            <w:pPr>
              <w:pStyle w:val="2"/>
              <w:spacing w:after="0" w:line="440" w:lineRule="exact"/>
              <w:rPr>
                <w:rFonts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简述锦里沿革、项目范围、上位规划依据及现状核心问题。</w:t>
            </w:r>
          </w:p>
        </w:tc>
      </w:tr>
      <w:tr w14:paraId="2A62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7F3862E6">
            <w:pPr>
              <w:pStyle w:val="2"/>
              <w:spacing w:after="0" w:line="440" w:lineRule="exact"/>
              <w:jc w:val="center"/>
              <w:rPr>
                <w:rFonts w:hAnsi="Times New Roman" w:eastAsia="方正仿宋_GBK" w:cs="Times New Roman"/>
                <w:sz w:val="28"/>
                <w:szCs w:val="28"/>
              </w:rPr>
            </w:pPr>
            <w:r>
              <w:rPr>
                <w:rFonts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14:paraId="31370073">
            <w:pPr>
              <w:pStyle w:val="2"/>
              <w:spacing w:after="0" w:line="440" w:lineRule="exact"/>
              <w:jc w:val="center"/>
              <w:rPr>
                <w:rFonts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物业现状</w:t>
            </w:r>
          </w:p>
        </w:tc>
        <w:tc>
          <w:tcPr>
            <w:tcW w:w="4445" w:type="dxa"/>
            <w:vAlign w:val="center"/>
          </w:tcPr>
          <w:p w14:paraId="26190F06">
            <w:pPr>
              <w:pStyle w:val="2"/>
              <w:spacing w:after="0" w:line="440" w:lineRule="exact"/>
              <w:rPr>
                <w:rFonts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对总平、建筑、道路、水域、管网、设备进行现状调查与评估，附现状图。</w:t>
            </w:r>
          </w:p>
        </w:tc>
      </w:tr>
      <w:tr w14:paraId="7AB2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vAlign w:val="center"/>
          </w:tcPr>
          <w:p w14:paraId="1329C58E">
            <w:pPr>
              <w:pStyle w:val="2"/>
              <w:spacing w:after="0" w:line="440" w:lineRule="exact"/>
              <w:jc w:val="center"/>
              <w:rPr>
                <w:rFonts w:hAnsi="Times New Roman" w:eastAsia="方正仿宋_GBK" w:cs="Times New Roman"/>
                <w:sz w:val="28"/>
                <w:szCs w:val="28"/>
              </w:rPr>
            </w:pPr>
            <w:r>
              <w:rPr>
                <w:rFonts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Align w:val="center"/>
          </w:tcPr>
          <w:p w14:paraId="448C85D8">
            <w:pPr>
              <w:pStyle w:val="2"/>
              <w:spacing w:after="0" w:line="440" w:lineRule="exact"/>
              <w:jc w:val="center"/>
              <w:rPr>
                <w:rFonts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园区定位</w:t>
            </w:r>
          </w:p>
        </w:tc>
        <w:tc>
          <w:tcPr>
            <w:tcW w:w="4445" w:type="dxa"/>
            <w:vAlign w:val="center"/>
          </w:tcPr>
          <w:p w14:paraId="5DF77E38">
            <w:pPr>
              <w:pStyle w:val="2"/>
              <w:spacing w:after="0" w:line="440" w:lineRule="exact"/>
              <w:rPr>
                <w:rFonts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明确公益属性（免费体验场景、公共服务</w:t>
            </w:r>
            <w:r>
              <w:rPr>
                <w:rFonts w:hint="eastAsia" w:hAnsi="Times New Roman" w:eastAsia="方正仿宋_GBK" w:cs="Times New Roman"/>
                <w:sz w:val="28"/>
                <w:szCs w:val="28"/>
                <w:lang w:eastAsia="zh-CN"/>
              </w:rPr>
              <w:t>等</w:t>
            </w: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）与产业属性（主题定位、</w:t>
            </w:r>
            <w:r>
              <w:rPr>
                <w:rFonts w:hint="eastAsia" w:hAnsi="Times New Roman" w:eastAsia="方正仿宋_GBK" w:cs="Times New Roman"/>
                <w:sz w:val="28"/>
                <w:szCs w:val="28"/>
                <w:lang w:eastAsia="zh-CN"/>
              </w:rPr>
              <w:t>运营模式</w:t>
            </w: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等）。</w:t>
            </w:r>
          </w:p>
        </w:tc>
      </w:tr>
      <w:tr w14:paraId="1A35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9CA7716">
            <w:pPr>
              <w:pStyle w:val="2"/>
              <w:spacing w:after="0" w:line="440" w:lineRule="exact"/>
              <w:jc w:val="center"/>
              <w:rPr>
                <w:rFonts w:hAnsi="Times New Roman" w:eastAsia="方正仿宋_GBK" w:cs="Times New Roman"/>
                <w:sz w:val="28"/>
                <w:szCs w:val="28"/>
              </w:rPr>
            </w:pPr>
            <w:r>
              <w:rPr>
                <w:rFonts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Align w:val="center"/>
          </w:tcPr>
          <w:p w14:paraId="07474436">
            <w:pPr>
              <w:pStyle w:val="2"/>
              <w:spacing w:after="0" w:line="440" w:lineRule="exact"/>
              <w:jc w:val="center"/>
              <w:rPr>
                <w:rFonts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规划设置</w:t>
            </w:r>
          </w:p>
        </w:tc>
        <w:tc>
          <w:tcPr>
            <w:tcW w:w="4445" w:type="dxa"/>
            <w:vAlign w:val="center"/>
          </w:tcPr>
          <w:p w14:paraId="54108E74">
            <w:pPr>
              <w:pStyle w:val="2"/>
              <w:spacing w:after="0" w:line="440" w:lineRule="exact"/>
              <w:rPr>
                <w:rFonts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hAnsi="Times New Roman" w:eastAsia="方正仿宋_GBK" w:cs="Times New Roman"/>
                <w:sz w:val="28"/>
                <w:szCs w:val="28"/>
                <w:lang w:eastAsia="zh-CN"/>
              </w:rPr>
              <w:t>至少覆盖</w:t>
            </w: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功能布局、游览动线（主次动线及承载力估算）、服务功能（公共厕所、</w:t>
            </w:r>
            <w:r>
              <w:rPr>
                <w:rFonts w:hint="eastAsia" w:hAnsi="Times New Roman" w:eastAsia="方正仿宋_GBK" w:cs="Times New Roman"/>
                <w:sz w:val="28"/>
                <w:szCs w:val="28"/>
                <w:lang w:eastAsia="zh-CN"/>
              </w:rPr>
              <w:t>标识标牌、</w:t>
            </w: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游客咨询服务点位等）、场景优化（日间</w:t>
            </w:r>
            <w:r>
              <w:rPr>
                <w:rFonts w:hAnsi="Times New Roman" w:eastAsia="方正仿宋_GBK" w:cs="Times New Roman"/>
                <w:sz w:val="28"/>
                <w:szCs w:val="28"/>
              </w:rPr>
              <w:t>、</w:t>
            </w: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夜间、</w:t>
            </w:r>
            <w:r>
              <w:rPr>
                <w:rFonts w:hAnsi="Times New Roman" w:eastAsia="方正仿宋_GBK" w:cs="Times New Roman"/>
                <w:sz w:val="28"/>
                <w:szCs w:val="28"/>
              </w:rPr>
              <w:t>节庆场景</w:t>
            </w: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）、业态培育（业态</w:t>
            </w:r>
            <w:r>
              <w:rPr>
                <w:rFonts w:hAnsi="Times New Roman" w:eastAsia="方正仿宋_GBK" w:cs="Times New Roman"/>
                <w:sz w:val="28"/>
                <w:szCs w:val="28"/>
              </w:rPr>
              <w:t>培育、品牌</w:t>
            </w: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入驻</w:t>
            </w:r>
            <w:r>
              <w:rPr>
                <w:rFonts w:hAnsi="Times New Roman" w:eastAsia="方正仿宋_GBK" w:cs="Times New Roman"/>
                <w:sz w:val="28"/>
                <w:szCs w:val="28"/>
              </w:rPr>
              <w:t>等</w:t>
            </w: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）、</w:t>
            </w:r>
            <w:r>
              <w:rPr>
                <w:rFonts w:hAnsi="Times New Roman" w:eastAsia="方正仿宋_GBK" w:cs="Times New Roman"/>
                <w:sz w:val="28"/>
                <w:szCs w:val="28"/>
              </w:rPr>
              <w:t>文化表达</w:t>
            </w: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（文化场景）</w:t>
            </w:r>
            <w:r>
              <w:rPr>
                <w:rFonts w:hAnsi="Times New Roman" w:eastAsia="方正仿宋_GBK" w:cs="Times New Roman"/>
                <w:sz w:val="28"/>
                <w:szCs w:val="28"/>
              </w:rPr>
              <w:t>等</w:t>
            </w: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。</w:t>
            </w:r>
          </w:p>
        </w:tc>
      </w:tr>
      <w:tr w14:paraId="422A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DE7DA4E">
            <w:pPr>
              <w:pStyle w:val="2"/>
              <w:spacing w:after="0" w:line="440" w:lineRule="exact"/>
              <w:jc w:val="center"/>
              <w:rPr>
                <w:rFonts w:hAnsi="Times New Roman" w:eastAsia="方正仿宋_GBK" w:cs="Times New Roman"/>
                <w:sz w:val="28"/>
                <w:szCs w:val="28"/>
              </w:rPr>
            </w:pPr>
            <w:r>
              <w:rPr>
                <w:rFonts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Align w:val="center"/>
          </w:tcPr>
          <w:p w14:paraId="62AEB0A2">
            <w:pPr>
              <w:pStyle w:val="2"/>
              <w:spacing w:after="0" w:line="440" w:lineRule="exact"/>
              <w:jc w:val="center"/>
              <w:rPr>
                <w:rFonts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考评</w:t>
            </w:r>
            <w:r>
              <w:rPr>
                <w:rFonts w:hAnsi="Times New Roman" w:eastAsia="方正仿宋_GBK" w:cs="Times New Roman"/>
                <w:sz w:val="28"/>
                <w:szCs w:val="28"/>
              </w:rPr>
              <w:t>指标</w:t>
            </w:r>
          </w:p>
        </w:tc>
        <w:tc>
          <w:tcPr>
            <w:tcW w:w="4445" w:type="dxa"/>
            <w:vAlign w:val="center"/>
          </w:tcPr>
          <w:p w14:paraId="62BB2FEF">
            <w:pPr>
              <w:pStyle w:val="2"/>
              <w:spacing w:after="0" w:line="440" w:lineRule="exact"/>
              <w:rPr>
                <w:rFonts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制定可量化的指标体系，至少覆盖基础维护、设备更新、</w:t>
            </w:r>
            <w:r>
              <w:rPr>
                <w:rFonts w:hint="eastAsia" w:hAnsi="Times New Roman" w:eastAsia="方正仿宋_GBK" w:cs="Times New Roman"/>
                <w:sz w:val="28"/>
                <w:szCs w:val="28"/>
                <w:lang w:eastAsia="zh-CN"/>
              </w:rPr>
              <w:t>环境管理</w:t>
            </w: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、剧目打造、安全保障、舆情管控、</w:t>
            </w:r>
            <w:r>
              <w:rPr>
                <w:rFonts w:hAnsi="Times New Roman" w:eastAsia="方正仿宋_GBK" w:cs="Times New Roman"/>
                <w:sz w:val="28"/>
                <w:szCs w:val="28"/>
              </w:rPr>
              <w:t>公益服务</w:t>
            </w: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等。</w:t>
            </w:r>
            <w:bookmarkStart w:id="0" w:name="_GoBack"/>
            <w:bookmarkEnd w:id="0"/>
          </w:p>
        </w:tc>
      </w:tr>
      <w:tr w14:paraId="5CB0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7FC8D140">
            <w:pPr>
              <w:pStyle w:val="2"/>
              <w:spacing w:after="0" w:line="440" w:lineRule="exact"/>
              <w:jc w:val="center"/>
              <w:rPr>
                <w:rFonts w:hAnsi="Times New Roman" w:eastAsia="方正仿宋_GBK" w:cs="Times New Roman"/>
                <w:sz w:val="28"/>
                <w:szCs w:val="28"/>
              </w:rPr>
            </w:pPr>
            <w:r>
              <w:rPr>
                <w:rFonts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vAlign w:val="center"/>
          </w:tcPr>
          <w:p w14:paraId="56107B9C">
            <w:pPr>
              <w:pStyle w:val="2"/>
              <w:spacing w:after="0" w:line="440" w:lineRule="exact"/>
              <w:jc w:val="center"/>
              <w:rPr>
                <w:rFonts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成效预估</w:t>
            </w:r>
          </w:p>
        </w:tc>
        <w:tc>
          <w:tcPr>
            <w:tcW w:w="4445" w:type="dxa"/>
            <w:vAlign w:val="center"/>
          </w:tcPr>
          <w:p w14:paraId="5162F726">
            <w:pPr>
              <w:pStyle w:val="2"/>
              <w:spacing w:after="0" w:line="440" w:lineRule="exact"/>
              <w:rPr>
                <w:rFonts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hAnsi="Times New Roman" w:eastAsia="方正仿宋_GBK" w:cs="Times New Roman"/>
                <w:sz w:val="28"/>
                <w:szCs w:val="28"/>
              </w:rPr>
              <w:t>预估改造后客流带动、财税贡献、品牌转化效益等。</w:t>
            </w:r>
          </w:p>
        </w:tc>
      </w:tr>
    </w:tbl>
    <w:p w14:paraId="1FFFA9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（二）技术要求</w:t>
      </w:r>
    </w:p>
    <w:p w14:paraId="250CB107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Ansi="Times New Roman" w:eastAsia="方正仿宋_GBK" w:cs="Times New Roman"/>
          <w:sz w:val="32"/>
          <w:szCs w:val="32"/>
        </w:rPr>
        <w:t>1. 调研深度：应通过现场踏勘、资料收集等方式，确保现状数据真实、准确。</w:t>
      </w:r>
    </w:p>
    <w:p w14:paraId="7E69C7E6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Ansi="Times New Roman" w:eastAsia="方正仿宋_GBK" w:cs="Times New Roman"/>
          <w:sz w:val="32"/>
          <w:szCs w:val="32"/>
        </w:rPr>
        <w:t>2. 成果实用性：</w:t>
      </w:r>
      <w:r>
        <w:rPr>
          <w:rFonts w:hint="eastAsia" w:hAnsi="Times New Roman" w:eastAsia="方正仿宋_GBK" w:cs="Times New Roman"/>
          <w:sz w:val="32"/>
          <w:szCs w:val="32"/>
        </w:rPr>
        <w:t>《</w:t>
      </w:r>
      <w:r>
        <w:rPr>
          <w:rFonts w:hAnsi="Times New Roman" w:eastAsia="方正仿宋_GBK" w:cs="Times New Roman"/>
          <w:sz w:val="32"/>
          <w:szCs w:val="32"/>
        </w:rPr>
        <w:t>导则</w:t>
      </w:r>
      <w:r>
        <w:rPr>
          <w:rFonts w:hint="eastAsia" w:hAnsi="Times New Roman" w:eastAsia="方正仿宋_GBK" w:cs="Times New Roman"/>
          <w:sz w:val="32"/>
          <w:szCs w:val="32"/>
        </w:rPr>
        <w:t>》</w:t>
      </w:r>
      <w:r>
        <w:rPr>
          <w:rFonts w:hAnsi="Times New Roman" w:eastAsia="方正仿宋_GBK" w:cs="Times New Roman"/>
          <w:sz w:val="32"/>
          <w:szCs w:val="32"/>
        </w:rPr>
        <w:t>内容应具备可操作性，提出的管控要求应可直接用于后期</w:t>
      </w:r>
      <w:r>
        <w:rPr>
          <w:rFonts w:hint="eastAsia" w:hAnsi="Times New Roman" w:eastAsia="方正仿宋_GBK" w:cs="Times New Roman"/>
          <w:sz w:val="32"/>
          <w:szCs w:val="32"/>
        </w:rPr>
        <w:t>规划</w:t>
      </w:r>
      <w:r>
        <w:rPr>
          <w:rFonts w:hAnsi="Times New Roman" w:eastAsia="方正仿宋_GBK" w:cs="Times New Roman"/>
          <w:sz w:val="32"/>
          <w:szCs w:val="32"/>
        </w:rPr>
        <w:t>和管理。</w:t>
      </w:r>
    </w:p>
    <w:p w14:paraId="39439078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Ansi="Times New Roman" w:eastAsia="方正仿宋_GBK" w:cs="Times New Roman"/>
          <w:sz w:val="32"/>
          <w:szCs w:val="32"/>
        </w:rPr>
        <w:t>3. 风格要求：文本语言简洁、图文并茂；图集清晰规范，符合</w:t>
      </w:r>
      <w:r>
        <w:rPr>
          <w:rFonts w:hint="eastAsia" w:hAnsi="Times New Roman" w:eastAsia="方正仿宋_GBK" w:cs="Times New Roman"/>
          <w:sz w:val="32"/>
          <w:szCs w:val="32"/>
          <w:lang w:eastAsia="zh-CN"/>
        </w:rPr>
        <w:t>要求</w:t>
      </w:r>
      <w:r>
        <w:rPr>
          <w:rFonts w:hint="eastAsia" w:hAnsi="Times New Roman" w:eastAsia="方正仿宋_GBK" w:cs="Times New Roman"/>
          <w:sz w:val="32"/>
          <w:szCs w:val="32"/>
        </w:rPr>
        <w:t>。</w:t>
      </w:r>
    </w:p>
    <w:p w14:paraId="0E7B85BA">
      <w:pPr>
        <w:pStyle w:val="2"/>
        <w:spacing w:after="0" w:line="60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（三）团队要求</w:t>
      </w:r>
    </w:p>
    <w:p w14:paraId="3A4A5108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hAnsi="Times New Roman" w:eastAsia="方正仿宋_GBK" w:cs="Times New Roman"/>
          <w:sz w:val="32"/>
          <w:szCs w:val="32"/>
        </w:rPr>
        <w:t>为本项目配备</w:t>
      </w:r>
      <w:r>
        <w:rPr>
          <w:rFonts w:hint="eastAsia" w:hAnsi="Times New Roman" w:eastAsia="方正仿宋_GBK" w:cs="Times New Roman"/>
          <w:sz w:val="32"/>
          <w:szCs w:val="32"/>
          <w:lang w:eastAsia="zh-CN"/>
        </w:rPr>
        <w:t>至少</w:t>
      </w:r>
      <w:r>
        <w:rPr>
          <w:rFonts w:hint="eastAsia" w:hAnsi="Times New Roman" w:eastAsia="方正仿宋_GBK" w:cs="Times New Roman"/>
          <w:sz w:val="32"/>
          <w:szCs w:val="32"/>
        </w:rPr>
        <w:t>1名项目负责人，</w:t>
      </w:r>
      <w:r>
        <w:rPr>
          <w:rFonts w:hAnsi="Times New Roman" w:eastAsia="方正仿宋_GBK" w:cs="Times New Roman"/>
          <w:sz w:val="32"/>
          <w:szCs w:val="32"/>
        </w:rPr>
        <w:t>负责</w:t>
      </w:r>
      <w:r>
        <w:rPr>
          <w:rFonts w:hint="eastAsia" w:hAnsi="Times New Roman" w:eastAsia="方正仿宋_GBK" w:cs="Times New Roman"/>
          <w:sz w:val="32"/>
          <w:szCs w:val="32"/>
        </w:rPr>
        <w:t>项目</w:t>
      </w:r>
      <w:r>
        <w:rPr>
          <w:rFonts w:hAnsi="Times New Roman" w:eastAsia="方正仿宋_GBK" w:cs="Times New Roman"/>
          <w:sz w:val="32"/>
          <w:szCs w:val="32"/>
        </w:rPr>
        <w:t>整体</w:t>
      </w:r>
      <w:r>
        <w:rPr>
          <w:rFonts w:hint="eastAsia" w:hAnsi="Times New Roman" w:eastAsia="方正仿宋_GBK" w:cs="Times New Roman"/>
          <w:sz w:val="32"/>
          <w:szCs w:val="32"/>
        </w:rPr>
        <w:t>的</w:t>
      </w:r>
      <w:r>
        <w:rPr>
          <w:rFonts w:hAnsi="Times New Roman" w:eastAsia="方正仿宋_GBK" w:cs="Times New Roman"/>
          <w:sz w:val="32"/>
          <w:szCs w:val="32"/>
        </w:rPr>
        <w:t>组织</w:t>
      </w:r>
      <w:r>
        <w:rPr>
          <w:rFonts w:hint="eastAsia" w:hAnsi="Times New Roman" w:eastAsia="方正仿宋_GBK" w:cs="Times New Roman"/>
          <w:sz w:val="32"/>
          <w:szCs w:val="32"/>
          <w:lang w:eastAsia="zh-CN"/>
        </w:rPr>
        <w:t>和落实</w:t>
      </w:r>
      <w:r>
        <w:rPr>
          <w:rFonts w:hAnsi="Times New Roman" w:eastAsia="方正仿宋_GBK" w:cs="Times New Roman"/>
          <w:sz w:val="32"/>
          <w:szCs w:val="32"/>
        </w:rPr>
        <w:t>，与采购人对接</w:t>
      </w:r>
      <w:r>
        <w:rPr>
          <w:rFonts w:hint="eastAsia" w:hAnsi="Times New Roman" w:eastAsia="方正仿宋_GBK" w:cs="Times New Roman"/>
          <w:sz w:val="32"/>
          <w:szCs w:val="32"/>
        </w:rPr>
        <w:t>。</w:t>
      </w:r>
    </w:p>
    <w:p w14:paraId="20D74BB7">
      <w:pPr>
        <w:pStyle w:val="2"/>
        <w:spacing w:after="0" w:line="60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（四）成果要求</w:t>
      </w:r>
    </w:p>
    <w:p w14:paraId="058DDFEB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hAnsi="Times New Roman" w:eastAsia="方正仿宋_GBK" w:cs="Times New Roman"/>
          <w:sz w:val="32"/>
          <w:szCs w:val="32"/>
        </w:rPr>
        <w:t>1.</w:t>
      </w:r>
      <w:r>
        <w:rPr>
          <w:rFonts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hAnsi="Times New Roman" w:eastAsia="方正仿宋_GBK" w:cs="Times New Roman"/>
          <w:sz w:val="32"/>
          <w:szCs w:val="32"/>
        </w:rPr>
        <w:t>《导则》正式文本，正文不少于</w:t>
      </w:r>
      <w:r>
        <w:rPr>
          <w:rFonts w:hint="eastAsia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hAnsi="Times New Roman" w:eastAsia="方正仿宋_GBK" w:cs="Times New Roman"/>
          <w:sz w:val="32"/>
          <w:szCs w:val="32"/>
        </w:rPr>
        <w:t>页（不含图）。</w:t>
      </w:r>
    </w:p>
    <w:p w14:paraId="26FFBB1C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hAnsi="Times New Roman" w:eastAsia="方正仿宋_GBK" w:cs="Times New Roman"/>
          <w:sz w:val="32"/>
          <w:szCs w:val="32"/>
        </w:rPr>
        <w:t>2. 配套图集，不少于</w:t>
      </w:r>
      <w:r>
        <w:rPr>
          <w:rFonts w:hint="eastAsia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hAnsi="Times New Roman" w:eastAsia="方正仿宋_GBK" w:cs="Times New Roman"/>
          <w:sz w:val="32"/>
          <w:szCs w:val="32"/>
        </w:rPr>
        <w:t>张，包括：现状</w:t>
      </w:r>
      <w:r>
        <w:rPr>
          <w:rFonts w:hint="eastAsia" w:hAnsi="Times New Roman" w:eastAsia="方正仿宋_GBK" w:cs="Times New Roman"/>
          <w:sz w:val="32"/>
          <w:szCs w:val="32"/>
          <w:lang w:eastAsia="zh-CN"/>
        </w:rPr>
        <w:t>总平</w:t>
      </w:r>
      <w:r>
        <w:rPr>
          <w:rFonts w:hint="eastAsia" w:hAnsi="Times New Roman" w:eastAsia="方正仿宋_GBK" w:cs="Times New Roman"/>
          <w:sz w:val="32"/>
          <w:szCs w:val="32"/>
        </w:rPr>
        <w:t>图、功能分区图、游览动线图、照明意向图等。</w:t>
      </w:r>
    </w:p>
    <w:p w14:paraId="47330594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hAnsi="Times New Roman" w:eastAsia="方正仿宋_GBK" w:cs="Times New Roman"/>
          <w:sz w:val="32"/>
          <w:szCs w:val="32"/>
        </w:rPr>
        <w:t>3</w:t>
      </w:r>
      <w:r>
        <w:rPr>
          <w:rFonts w:hAnsi="Times New Roman" w:eastAsia="方正仿宋_GBK" w:cs="Times New Roman"/>
          <w:sz w:val="32"/>
          <w:szCs w:val="32"/>
        </w:rPr>
        <w:t xml:space="preserve">. </w:t>
      </w:r>
      <w:r>
        <w:rPr>
          <w:rFonts w:hint="eastAsia" w:hAnsi="Times New Roman" w:eastAsia="方正仿宋_GBK" w:cs="Times New Roman"/>
          <w:sz w:val="32"/>
          <w:szCs w:val="32"/>
        </w:rPr>
        <w:t>提交</w:t>
      </w:r>
      <w:r>
        <w:rPr>
          <w:rFonts w:hAnsi="Times New Roman" w:eastAsia="方正仿宋_GBK" w:cs="Times New Roman"/>
          <w:sz w:val="32"/>
          <w:szCs w:val="32"/>
        </w:rPr>
        <w:t>最终成果纸质版</w:t>
      </w:r>
      <w:r>
        <w:rPr>
          <w:rFonts w:hint="eastAsia" w:hAnsi="Times New Roman" w:eastAsia="方正仿宋_GBK" w:cs="Times New Roman"/>
          <w:sz w:val="32"/>
          <w:szCs w:val="32"/>
        </w:rPr>
        <w:t>6套（彩色胶装），电子版</w:t>
      </w:r>
      <w:r>
        <w:rPr>
          <w:rFonts w:hAnsi="Times New Roman" w:eastAsia="方正仿宋_GBK" w:cs="Times New Roman"/>
          <w:sz w:val="32"/>
          <w:szCs w:val="32"/>
        </w:rPr>
        <w:t>全套成果</w:t>
      </w:r>
      <w:r>
        <w:rPr>
          <w:rFonts w:hint="eastAsia" w:hAnsi="Times New Roman" w:eastAsia="方正仿宋_GBK" w:cs="Times New Roman"/>
          <w:sz w:val="32"/>
          <w:szCs w:val="32"/>
        </w:rPr>
        <w:t>（文本</w:t>
      </w:r>
      <w:r>
        <w:rPr>
          <w:rFonts w:hAnsi="Times New Roman" w:eastAsia="方正仿宋_GBK" w:cs="Times New Roman"/>
          <w:sz w:val="32"/>
          <w:szCs w:val="32"/>
        </w:rPr>
        <w:t>、图集</w:t>
      </w:r>
      <w:r>
        <w:rPr>
          <w:rFonts w:hint="eastAsia" w:hAnsi="Times New Roman" w:eastAsia="方正仿宋_GBK" w:cs="Times New Roman"/>
          <w:sz w:val="32"/>
          <w:szCs w:val="32"/>
        </w:rPr>
        <w:t>）</w:t>
      </w:r>
      <w:r>
        <w:rPr>
          <w:rFonts w:hAnsi="Times New Roman" w:eastAsia="方正仿宋_GBK" w:cs="Times New Roman"/>
          <w:sz w:val="32"/>
          <w:szCs w:val="32"/>
        </w:rPr>
        <w:t>U盘</w:t>
      </w:r>
      <w:r>
        <w:rPr>
          <w:rFonts w:hint="eastAsia" w:hAnsi="Times New Roman" w:eastAsia="方正仿宋_GBK" w:cs="Times New Roman"/>
          <w:sz w:val="32"/>
          <w:szCs w:val="32"/>
        </w:rPr>
        <w:t>2份，格式为PDF及可编辑源文件</w:t>
      </w:r>
      <w:r>
        <w:rPr>
          <w:rFonts w:hAnsi="Times New Roman" w:eastAsia="方正仿宋_GBK" w:cs="Times New Roman"/>
          <w:sz w:val="32"/>
          <w:szCs w:val="32"/>
        </w:rPr>
        <w:t>。</w:t>
      </w:r>
    </w:p>
    <w:p w14:paraId="16A211F4">
      <w:pPr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三、供应商</w:t>
      </w:r>
      <w:r>
        <w:rPr>
          <w:rFonts w:ascii="方正黑体_GBK" w:hAnsi="方正黑体_GBK" w:eastAsia="方正黑体_GBK" w:cs="方正黑体_GBK"/>
          <w:sz w:val="32"/>
          <w:szCs w:val="32"/>
        </w:rPr>
        <w:t>资格要求</w:t>
      </w:r>
    </w:p>
    <w:p w14:paraId="43BA85E3">
      <w:pPr>
        <w:pStyle w:val="2"/>
        <w:spacing w:after="0" w:line="600" w:lineRule="exact"/>
        <w:ind w:firstLine="640" w:firstLineChars="200"/>
        <w:rPr>
          <w:rFonts w:hint="eastAsia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hAnsi="Times New Roman" w:eastAsia="方正仿宋_GBK" w:cs="Times New Roman"/>
          <w:sz w:val="32"/>
          <w:szCs w:val="32"/>
        </w:rPr>
        <w:t>持有有效营业执照</w:t>
      </w:r>
      <w:r>
        <w:rPr>
          <w:rFonts w:hint="eastAsia" w:hAnsi="Times New Roman" w:eastAsia="方正仿宋_GBK" w:cs="Times New Roman"/>
          <w:sz w:val="32"/>
          <w:szCs w:val="32"/>
          <w:lang w:eastAsia="zh-CN"/>
        </w:rPr>
        <w:t>，营业执照须至少含以下任一资质：旅游规划设计、商业业态规划策划、城市更新咨询、公共空间风貌与界面设计、景观设计、文化项目策划、专业设计服务、规划设计管理、园区管理服务、商业综合体管理服务、市场营销策划、旅游开发项目策划咨询、咨询策划服务。</w:t>
      </w:r>
    </w:p>
    <w:p w14:paraId="6929CAB5">
      <w:pPr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</w:t>
      </w:r>
      <w:r>
        <w:rPr>
          <w:rFonts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其他事项</w:t>
      </w:r>
    </w:p>
    <w:p w14:paraId="0C090B71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hAnsi="Times New Roman" w:eastAsia="方正仿宋_GBK" w:cs="Times New Roman"/>
          <w:sz w:val="32"/>
          <w:szCs w:val="32"/>
        </w:rPr>
        <w:t>1.</w:t>
      </w:r>
      <w:r>
        <w:rPr>
          <w:rFonts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hAnsi="Times New Roman" w:eastAsia="方正仿宋_GBK" w:cs="Times New Roman"/>
          <w:sz w:val="32"/>
          <w:szCs w:val="32"/>
        </w:rPr>
        <w:t>供应商</w:t>
      </w:r>
      <w:r>
        <w:rPr>
          <w:rFonts w:hAnsi="Times New Roman" w:eastAsia="方正仿宋_GBK" w:cs="Times New Roman"/>
          <w:sz w:val="32"/>
          <w:szCs w:val="32"/>
        </w:rPr>
        <w:t>应参考类似项目按照成本价加合理利润原则报价。</w:t>
      </w:r>
      <w:r>
        <w:rPr>
          <w:rFonts w:hint="eastAsia" w:hAnsi="Times New Roman" w:eastAsia="方正仿宋_GBK" w:cs="Times New Roman"/>
          <w:sz w:val="32"/>
          <w:szCs w:val="32"/>
        </w:rPr>
        <w:t>本项目报价</w:t>
      </w:r>
      <w:r>
        <w:rPr>
          <w:rFonts w:hAnsi="Times New Roman" w:eastAsia="方正仿宋_GBK" w:cs="Times New Roman"/>
          <w:sz w:val="32"/>
          <w:szCs w:val="32"/>
        </w:rPr>
        <w:t>应包含所需</w:t>
      </w:r>
      <w:r>
        <w:rPr>
          <w:rFonts w:hint="eastAsia" w:hAnsi="Times New Roman" w:eastAsia="方正仿宋_GBK" w:cs="Times New Roman"/>
          <w:sz w:val="32"/>
          <w:szCs w:val="32"/>
        </w:rPr>
        <w:t>的全部</w:t>
      </w:r>
      <w:r>
        <w:rPr>
          <w:rFonts w:hAnsi="Times New Roman" w:eastAsia="方正仿宋_GBK" w:cs="Times New Roman"/>
          <w:sz w:val="32"/>
          <w:szCs w:val="32"/>
        </w:rPr>
        <w:t>费用，</w:t>
      </w:r>
      <w:r>
        <w:rPr>
          <w:rFonts w:hint="eastAsia" w:hAnsi="Times New Roman" w:eastAsia="方正仿宋_GBK" w:cs="Times New Roman"/>
          <w:sz w:val="32"/>
          <w:szCs w:val="32"/>
        </w:rPr>
        <w:t>包括但不限于</w:t>
      </w:r>
      <w:r>
        <w:rPr>
          <w:rFonts w:eastAsia="方正仿宋_GBK"/>
          <w:color w:val="000000"/>
          <w:sz w:val="32"/>
          <w:szCs w:val="30"/>
        </w:rPr>
        <w:t>人工、材料、设备、资料、保险、税费、利润</w:t>
      </w:r>
      <w:r>
        <w:rPr>
          <w:rFonts w:hAnsi="Times New Roman" w:eastAsia="方正仿宋_GBK" w:cs="Times New Roman"/>
          <w:sz w:val="32"/>
          <w:szCs w:val="32"/>
        </w:rPr>
        <w:t>等一切相关费用</w:t>
      </w:r>
      <w:r>
        <w:rPr>
          <w:rFonts w:hint="eastAsia" w:hAnsi="Times New Roman" w:eastAsia="方正仿宋_GBK" w:cs="Times New Roman"/>
          <w:sz w:val="32"/>
          <w:szCs w:val="32"/>
        </w:rPr>
        <w:t>，</w:t>
      </w:r>
      <w:r>
        <w:rPr>
          <w:rFonts w:hAnsi="Times New Roman" w:eastAsia="方正仿宋_GBK" w:cs="Times New Roman"/>
          <w:sz w:val="32"/>
          <w:szCs w:val="32"/>
        </w:rPr>
        <w:t>报价为一次性包干价，后续不额外增加费用</w:t>
      </w:r>
      <w:r>
        <w:rPr>
          <w:rFonts w:hint="eastAsia" w:hAnsi="Times New Roman" w:eastAsia="方正仿宋_GBK" w:cs="Times New Roman"/>
          <w:sz w:val="32"/>
          <w:szCs w:val="32"/>
        </w:rPr>
        <w:t>。</w:t>
      </w:r>
    </w:p>
    <w:p w14:paraId="4D7C84CB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hAnsi="Times New Roman" w:eastAsia="方正仿宋_GBK" w:cs="Times New Roman"/>
          <w:sz w:val="32"/>
          <w:szCs w:val="32"/>
        </w:rPr>
        <w:t>2</w:t>
      </w:r>
      <w:r>
        <w:rPr>
          <w:rFonts w:hAnsi="Times New Roman" w:eastAsia="方正仿宋_GBK" w:cs="Times New Roman"/>
          <w:sz w:val="32"/>
          <w:szCs w:val="32"/>
        </w:rPr>
        <w:t xml:space="preserve">. </w:t>
      </w:r>
      <w:r>
        <w:rPr>
          <w:rFonts w:hint="eastAsia" w:hAnsi="Times New Roman" w:eastAsia="方正仿宋_GBK" w:cs="Times New Roman"/>
          <w:sz w:val="32"/>
          <w:szCs w:val="32"/>
        </w:rPr>
        <w:t>具体采购内容</w:t>
      </w:r>
      <w:r>
        <w:rPr>
          <w:rFonts w:hAnsi="Times New Roman" w:eastAsia="方正仿宋_GBK" w:cs="Times New Roman"/>
          <w:sz w:val="32"/>
          <w:szCs w:val="32"/>
        </w:rPr>
        <w:t>以正式采购文件为准。</w:t>
      </w:r>
    </w:p>
    <w:p w14:paraId="3234C92C">
      <w:pPr>
        <w:pStyle w:val="2"/>
        <w:spacing w:after="0" w:line="600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</w:p>
    <w:p w14:paraId="3D0E566D">
      <w:pPr>
        <w:pStyle w:val="2"/>
        <w:spacing w:after="0" w:line="480" w:lineRule="exact"/>
        <w:ind w:firstLine="480" w:firstLineChars="200"/>
        <w:rPr>
          <w:rFonts w:hAnsi="Times New Roman" w:eastAsia="方正仿宋_GBK" w:cs="Times New Roman"/>
          <w:sz w:val="24"/>
          <w:szCs w:val="32"/>
        </w:rPr>
      </w:pPr>
      <w:r>
        <w:rPr>
          <w:rFonts w:hint="eastAsia" w:hAnsi="Times New Roman" w:eastAsia="方正仿宋_GBK" w:cs="Times New Roman"/>
          <w:sz w:val="24"/>
          <w:szCs w:val="32"/>
        </w:rPr>
        <w:t>注：公开比价中出现下列情形之一的，参照财政部《关于推动解决政府采购异常低价问题的通知》（财库〔2026〕2号），启动异常低价报价审查程序：</w:t>
      </w:r>
    </w:p>
    <w:p w14:paraId="6A167022">
      <w:pPr>
        <w:pStyle w:val="2"/>
        <w:spacing w:after="0" w:line="480" w:lineRule="exact"/>
        <w:ind w:firstLine="480" w:firstLineChars="200"/>
        <w:rPr>
          <w:rFonts w:hAnsi="Times New Roman" w:eastAsia="方正仿宋_GBK" w:cs="Times New Roman"/>
          <w:sz w:val="24"/>
          <w:szCs w:val="32"/>
        </w:rPr>
      </w:pPr>
      <w:r>
        <w:rPr>
          <w:rFonts w:hint="eastAsia" w:hAnsi="Times New Roman" w:eastAsia="方正仿宋_GBK" w:cs="Times New Roman"/>
          <w:sz w:val="24"/>
          <w:szCs w:val="32"/>
        </w:rPr>
        <w:t>1.报价低于全部通过符合性审查供应商报价平均值50%的，即报价&lt;全部通过符合性审查供应商报价平均值×50%；</w:t>
      </w:r>
    </w:p>
    <w:p w14:paraId="79D8AEB3">
      <w:pPr>
        <w:pStyle w:val="2"/>
        <w:spacing w:after="0" w:line="480" w:lineRule="exact"/>
        <w:ind w:firstLine="480" w:firstLineChars="200"/>
        <w:rPr>
          <w:rFonts w:hAnsi="Times New Roman" w:eastAsia="方正仿宋_GBK" w:cs="Times New Roman"/>
          <w:sz w:val="24"/>
          <w:szCs w:val="32"/>
        </w:rPr>
      </w:pPr>
      <w:r>
        <w:rPr>
          <w:rFonts w:hint="eastAsia" w:hAnsi="Times New Roman" w:eastAsia="方正仿宋_GBK" w:cs="Times New Roman"/>
          <w:sz w:val="24"/>
          <w:szCs w:val="32"/>
        </w:rPr>
        <w:t>2.报价低于通过符合性审查的次低报价供应商报价50%的，即报价&lt;通过符合性审查的次低报价供应商报价×50%；</w:t>
      </w:r>
    </w:p>
    <w:p w14:paraId="2ADFA37D">
      <w:pPr>
        <w:pStyle w:val="2"/>
        <w:spacing w:after="0" w:line="480" w:lineRule="exact"/>
        <w:ind w:firstLine="480" w:firstLineChars="200"/>
        <w:rPr>
          <w:rFonts w:hAnsi="Times New Roman" w:eastAsia="方正仿宋_GBK" w:cs="Times New Roman"/>
          <w:sz w:val="24"/>
          <w:szCs w:val="32"/>
        </w:rPr>
      </w:pPr>
      <w:r>
        <w:rPr>
          <w:rFonts w:hint="eastAsia" w:hAnsi="Times New Roman" w:eastAsia="方正仿宋_GBK" w:cs="Times New Roman"/>
          <w:sz w:val="24"/>
          <w:szCs w:val="32"/>
        </w:rPr>
        <w:t>3.报价低于采购项目最高限价45%的，即报价&lt;采购项目最高限价×45%。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国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icrosoftYaHei">
    <w:altName w:val="思源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16DF0"/>
    <w:multiLevelType w:val="singleLevel"/>
    <w:tmpl w:val="EC516D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WEwOGRiNDdmYTNhNDVlOTFjMzU2NTQ0MzcyMTgifQ=="/>
  </w:docVars>
  <w:rsids>
    <w:rsidRoot w:val="59A51DFA"/>
    <w:rsid w:val="00054A93"/>
    <w:rsid w:val="00081A31"/>
    <w:rsid w:val="00096CE3"/>
    <w:rsid w:val="000D0743"/>
    <w:rsid w:val="000D6DFC"/>
    <w:rsid w:val="000E0C80"/>
    <w:rsid w:val="00111B9D"/>
    <w:rsid w:val="0012269D"/>
    <w:rsid w:val="00123ADA"/>
    <w:rsid w:val="00146949"/>
    <w:rsid w:val="00163B9F"/>
    <w:rsid w:val="00164581"/>
    <w:rsid w:val="00167EC8"/>
    <w:rsid w:val="00195F27"/>
    <w:rsid w:val="001B3DAF"/>
    <w:rsid w:val="00211613"/>
    <w:rsid w:val="0021652E"/>
    <w:rsid w:val="0023050C"/>
    <w:rsid w:val="00273C99"/>
    <w:rsid w:val="002934A6"/>
    <w:rsid w:val="002967CF"/>
    <w:rsid w:val="002F038E"/>
    <w:rsid w:val="00324788"/>
    <w:rsid w:val="00355856"/>
    <w:rsid w:val="0036434F"/>
    <w:rsid w:val="003A15F3"/>
    <w:rsid w:val="003A67AD"/>
    <w:rsid w:val="003B5712"/>
    <w:rsid w:val="003C0826"/>
    <w:rsid w:val="0042303C"/>
    <w:rsid w:val="00431059"/>
    <w:rsid w:val="00446C2A"/>
    <w:rsid w:val="004B2CFA"/>
    <w:rsid w:val="004D4019"/>
    <w:rsid w:val="005062F8"/>
    <w:rsid w:val="00563CFF"/>
    <w:rsid w:val="005A652A"/>
    <w:rsid w:val="005C7254"/>
    <w:rsid w:val="00634595"/>
    <w:rsid w:val="00643BD8"/>
    <w:rsid w:val="0065016D"/>
    <w:rsid w:val="00662698"/>
    <w:rsid w:val="0069396A"/>
    <w:rsid w:val="006D41C3"/>
    <w:rsid w:val="00716FDE"/>
    <w:rsid w:val="00747EB9"/>
    <w:rsid w:val="007623D0"/>
    <w:rsid w:val="0078745B"/>
    <w:rsid w:val="007C1E0F"/>
    <w:rsid w:val="0086570F"/>
    <w:rsid w:val="00887205"/>
    <w:rsid w:val="008A257C"/>
    <w:rsid w:val="008E1F55"/>
    <w:rsid w:val="008E5F33"/>
    <w:rsid w:val="00900F18"/>
    <w:rsid w:val="009279FC"/>
    <w:rsid w:val="00956B78"/>
    <w:rsid w:val="009765D7"/>
    <w:rsid w:val="0099057A"/>
    <w:rsid w:val="00A120BC"/>
    <w:rsid w:val="00A3551C"/>
    <w:rsid w:val="00A51004"/>
    <w:rsid w:val="00A54D10"/>
    <w:rsid w:val="00A779CD"/>
    <w:rsid w:val="00AA64E4"/>
    <w:rsid w:val="00B378AF"/>
    <w:rsid w:val="00B64A2D"/>
    <w:rsid w:val="00B97A07"/>
    <w:rsid w:val="00BD055C"/>
    <w:rsid w:val="00C62C3F"/>
    <w:rsid w:val="00C7438A"/>
    <w:rsid w:val="00C93F1C"/>
    <w:rsid w:val="00D10455"/>
    <w:rsid w:val="00D46E0E"/>
    <w:rsid w:val="00D972FA"/>
    <w:rsid w:val="00DA7F7A"/>
    <w:rsid w:val="00E22905"/>
    <w:rsid w:val="00E34E0F"/>
    <w:rsid w:val="00E36E5C"/>
    <w:rsid w:val="00E62F81"/>
    <w:rsid w:val="00E657BC"/>
    <w:rsid w:val="00E8146F"/>
    <w:rsid w:val="00EE1765"/>
    <w:rsid w:val="00EF054D"/>
    <w:rsid w:val="00EF2318"/>
    <w:rsid w:val="00EF37B2"/>
    <w:rsid w:val="00F01DCB"/>
    <w:rsid w:val="00F06EA4"/>
    <w:rsid w:val="00F45C04"/>
    <w:rsid w:val="00FB7D59"/>
    <w:rsid w:val="00FD68FF"/>
    <w:rsid w:val="00FE11FD"/>
    <w:rsid w:val="09A8018A"/>
    <w:rsid w:val="09F766E1"/>
    <w:rsid w:val="0C540FAF"/>
    <w:rsid w:val="0F0851E1"/>
    <w:rsid w:val="17FB8073"/>
    <w:rsid w:val="1BA84CDA"/>
    <w:rsid w:val="1FE79A42"/>
    <w:rsid w:val="1FEF3356"/>
    <w:rsid w:val="1FFED96C"/>
    <w:rsid w:val="25D7F33A"/>
    <w:rsid w:val="25DE01F7"/>
    <w:rsid w:val="27A92167"/>
    <w:rsid w:val="2ACA64B0"/>
    <w:rsid w:val="2C8C39F0"/>
    <w:rsid w:val="2FD7D630"/>
    <w:rsid w:val="2FDF8B5C"/>
    <w:rsid w:val="359254EA"/>
    <w:rsid w:val="379F5E44"/>
    <w:rsid w:val="37EE7972"/>
    <w:rsid w:val="37EF3749"/>
    <w:rsid w:val="3DFDABAA"/>
    <w:rsid w:val="42607D18"/>
    <w:rsid w:val="4700508A"/>
    <w:rsid w:val="4E49427D"/>
    <w:rsid w:val="4FBFCEAE"/>
    <w:rsid w:val="57462A10"/>
    <w:rsid w:val="57782C90"/>
    <w:rsid w:val="59A51DFA"/>
    <w:rsid w:val="5D1D1265"/>
    <w:rsid w:val="63BF6533"/>
    <w:rsid w:val="66802DE3"/>
    <w:rsid w:val="69823BDB"/>
    <w:rsid w:val="69F00F8C"/>
    <w:rsid w:val="6D7B962B"/>
    <w:rsid w:val="6D9E4784"/>
    <w:rsid w:val="73245576"/>
    <w:rsid w:val="758FFBD3"/>
    <w:rsid w:val="75FE0D5B"/>
    <w:rsid w:val="77EF0A79"/>
    <w:rsid w:val="77F76B57"/>
    <w:rsid w:val="7AA58536"/>
    <w:rsid w:val="7B779E0C"/>
    <w:rsid w:val="7BBF7B6E"/>
    <w:rsid w:val="7DBB2690"/>
    <w:rsid w:val="7DFB3B36"/>
    <w:rsid w:val="7E7F96CC"/>
    <w:rsid w:val="7EBB9A4F"/>
    <w:rsid w:val="7EF37595"/>
    <w:rsid w:val="7EFD3F11"/>
    <w:rsid w:val="7F3606FD"/>
    <w:rsid w:val="7FFA5B37"/>
    <w:rsid w:val="9BFC3599"/>
    <w:rsid w:val="BD7D00F1"/>
    <w:rsid w:val="BDF3D3E5"/>
    <w:rsid w:val="BE3B95DE"/>
    <w:rsid w:val="D9FE46D5"/>
    <w:rsid w:val="E3FB3B40"/>
    <w:rsid w:val="E73D9944"/>
    <w:rsid w:val="E7F9027D"/>
    <w:rsid w:val="F71FC51D"/>
    <w:rsid w:val="F7EF40AC"/>
    <w:rsid w:val="FB7DB57A"/>
    <w:rsid w:val="FDF3717E"/>
    <w:rsid w:val="FDFCC811"/>
    <w:rsid w:val="FEDFCD4B"/>
    <w:rsid w:val="FF3DE243"/>
    <w:rsid w:val="FFD533E9"/>
    <w:rsid w:val="FFEF9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0"/>
      </w:tabs>
      <w:spacing w:after="120"/>
    </w:pPr>
    <w:rPr>
      <w:rFonts w:ascii="Times New Roma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236</Words>
  <Characters>1346</Characters>
  <Lines>11</Lines>
  <Paragraphs>3</Paragraphs>
  <TotalTime>101</TotalTime>
  <ScaleCrop>false</ScaleCrop>
  <LinksUpToDate>false</LinksUpToDate>
  <CharactersWithSpaces>1579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2026-03-27T10:26:00Z</dcterms:created>
  <dc:creator>北极猴</dc:creator>
  <cp:lastModifiedBy>Boris</cp:lastModifiedBy>
  <dcterms:modified xsi:type="dcterms:W3CDTF">2026-05-20T15:13:09Z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D835DA6C9C95424E8E944DF1CE4A24E9_13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