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附件1  </w:t>
      </w:r>
    </w:p>
    <w:p>
      <w:pPr>
        <w:spacing w:line="580"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采购需求</w:t>
      </w:r>
    </w:p>
    <w:tbl>
      <w:tblPr>
        <w:tblStyle w:val="10"/>
        <w:tblW w:w="1026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9" w:type="dxa"/>
          </w:tcPr>
          <w:p>
            <w:pPr>
              <w:pStyle w:val="2"/>
              <w:spacing w:line="58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p>
        </w:tc>
        <w:tc>
          <w:tcPr>
            <w:tcW w:w="8640" w:type="dxa"/>
          </w:tcPr>
          <w:p>
            <w:pPr>
              <w:pStyle w:val="2"/>
              <w:spacing w:line="580" w:lineRule="exact"/>
              <w:ind w:firstLine="0" w:firstLineChars="0"/>
              <w:rPr>
                <w:rFonts w:ascii="Times New Roman" w:hAnsi="Times New Roman" w:eastAsia="方正仿宋_GBK" w:cs="Times New Roman"/>
                <w:sz w:val="32"/>
                <w:szCs w:val="32"/>
              </w:rPr>
            </w:pPr>
            <w:r>
              <w:rPr>
                <w:rFonts w:ascii="Times New Roman" w:hAnsi="Times New Roman" w:eastAsia="方正仿宋_GBK"/>
                <w:sz w:val="32"/>
                <w:szCs w:val="32"/>
                <w:lang w:val="zh-TW" w:eastAsia="zh-TW"/>
              </w:rPr>
              <w:t>成都武侯祠</w:t>
            </w:r>
            <w:r>
              <w:rPr>
                <w:rFonts w:hint="eastAsia" w:ascii="Times New Roman" w:hAnsi="Times New Roman" w:eastAsia="方正仿宋_GBK"/>
                <w:sz w:val="32"/>
                <w:szCs w:val="32"/>
                <w:lang w:val="zh-TW"/>
              </w:rPr>
              <w:t>票务系统</w:t>
            </w:r>
            <w:r>
              <w:rPr>
                <w:rFonts w:hint="eastAsia" w:ascii="Times New Roman" w:hAnsi="Times New Roman" w:eastAsia="方正仿宋_GBK"/>
                <w:sz w:val="32"/>
                <w:szCs w:val="32"/>
                <w:lang w:val="en-US" w:eastAsia="zh-CN"/>
              </w:rPr>
              <w:t>全面</w:t>
            </w:r>
            <w:r>
              <w:rPr>
                <w:rFonts w:hint="eastAsia" w:ascii="Times New Roman" w:hAnsi="Times New Roman" w:eastAsia="方正仿宋_GBK"/>
                <w:sz w:val="32"/>
                <w:szCs w:val="32"/>
                <w:lang w:val="zh-TW"/>
              </w:rPr>
              <w:t>云</w:t>
            </w:r>
            <w:r>
              <w:rPr>
                <w:rFonts w:hint="eastAsia" w:ascii="Times New Roman" w:hAnsi="Times New Roman" w:eastAsia="方正仿宋_GBK"/>
                <w:sz w:val="32"/>
                <w:szCs w:val="32"/>
                <w:lang w:val="en-US" w:eastAsia="zh-CN"/>
              </w:rPr>
              <w:t>化改造、应用运维及安全服务</w:t>
            </w:r>
            <w:r>
              <w:rPr>
                <w:rFonts w:ascii="Times New Roman" w:hAnsi="Times New Roman" w:eastAsia="方正仿宋_GBK" w:cs="Times New Roman"/>
                <w:bCs/>
                <w:kern w:val="0"/>
                <w:sz w:val="32"/>
                <w:szCs w:val="32"/>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9" w:type="dxa"/>
          </w:tcPr>
          <w:p>
            <w:pPr>
              <w:pStyle w:val="2"/>
              <w:spacing w:line="58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服务期限</w:t>
            </w:r>
          </w:p>
        </w:tc>
        <w:tc>
          <w:tcPr>
            <w:tcW w:w="8640" w:type="dxa"/>
          </w:tcPr>
          <w:p>
            <w:pPr>
              <w:pStyle w:val="2"/>
              <w:spacing w:line="580" w:lineRule="exact"/>
              <w:ind w:firstLine="0" w:firstLineChars="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Cs/>
                <w:kern w:val="0"/>
                <w:sz w:val="32"/>
                <w:szCs w:val="32"/>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9" w:type="dxa"/>
          </w:tcPr>
          <w:p>
            <w:pPr>
              <w:pStyle w:val="2"/>
              <w:spacing w:line="580" w:lineRule="exact"/>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项目需求</w:t>
            </w:r>
          </w:p>
        </w:tc>
        <w:tc>
          <w:tcPr>
            <w:tcW w:w="8640" w:type="dxa"/>
          </w:tcPr>
          <w:p>
            <w:pPr>
              <w:spacing w:line="580" w:lineRule="exact"/>
              <w:ind w:firstLine="643" w:firstLineChars="200"/>
              <w:jc w:val="left"/>
              <w:rPr>
                <w:rFonts w:ascii="Times New Roman" w:hAnsi="Times New Roman" w:eastAsia="方正仿宋_GBK" w:cs="Times New Roman"/>
                <w:b/>
                <w:bCs/>
                <w:kern w:val="0"/>
                <w:sz w:val="32"/>
                <w:szCs w:val="32"/>
                <w:lang w:val="zh-TW" w:eastAsia="zh-TW"/>
              </w:rPr>
            </w:pPr>
            <w:r>
              <w:rPr>
                <w:rFonts w:ascii="Times New Roman" w:hAnsi="Times New Roman" w:eastAsia="方正仿宋_GBK" w:cs="Times New Roman"/>
                <w:b/>
                <w:bCs/>
                <w:kern w:val="0"/>
                <w:sz w:val="32"/>
                <w:szCs w:val="32"/>
              </w:rPr>
              <w:t>一、项目</w:t>
            </w:r>
            <w:r>
              <w:rPr>
                <w:rFonts w:ascii="Times New Roman" w:hAnsi="Times New Roman" w:eastAsia="方正仿宋_GBK" w:cs="Times New Roman"/>
                <w:b/>
                <w:bCs/>
                <w:kern w:val="0"/>
                <w:sz w:val="32"/>
                <w:szCs w:val="32"/>
                <w:lang w:val="zh-TW"/>
              </w:rPr>
              <w:t>概况</w:t>
            </w:r>
          </w:p>
          <w:p>
            <w:p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zh-TW"/>
              </w:rPr>
              <w:t>成都武侯祠博物馆</w:t>
            </w:r>
            <w:r>
              <w:rPr>
                <w:rFonts w:hint="eastAsia" w:ascii="Times New Roman" w:hAnsi="Times New Roman" w:eastAsia="方正仿宋_GBK"/>
                <w:color w:val="000000"/>
                <w:sz w:val="32"/>
                <w:szCs w:val="32"/>
                <w:lang w:val="en-US" w:eastAsia="zh-CN"/>
              </w:rPr>
              <w:t>票务</w:t>
            </w:r>
            <w:r>
              <w:rPr>
                <w:rFonts w:hint="eastAsia" w:ascii="Times New Roman" w:hAnsi="Times New Roman" w:eastAsia="方正仿宋_GBK"/>
                <w:color w:val="000000"/>
                <w:sz w:val="32"/>
                <w:szCs w:val="32"/>
                <w:lang w:val="zh-TW"/>
              </w:rPr>
              <w:t>系统自2021年投入运行以来，稳定支撑博物馆的核心票务业务，保障了历年“成都大庙会”等重要活动。</w:t>
            </w:r>
            <w:r>
              <w:rPr>
                <w:rFonts w:hint="eastAsia" w:ascii="Times New Roman" w:hAnsi="Times New Roman" w:eastAsia="方正仿宋_GBK"/>
                <w:color w:val="000000"/>
                <w:sz w:val="32"/>
                <w:szCs w:val="32"/>
                <w:lang w:val="en-US" w:eastAsia="zh-CN"/>
              </w:rPr>
              <w:t>为顺应技术发展趋势，进一步优化架构和降低成本，我馆启动成都武侯祠票务系统全面云化改造、应用运维及安全服务项目，预算金额</w:t>
            </w:r>
            <w:bookmarkStart w:id="1" w:name="_GoBack"/>
            <w:bookmarkEnd w:id="1"/>
            <w:r>
              <w:rPr>
                <w:rFonts w:hint="eastAsia" w:ascii="Times New Roman" w:hAnsi="Times New Roman" w:eastAsia="方正仿宋_GBK"/>
                <w:color w:val="000000"/>
                <w:sz w:val="32"/>
                <w:szCs w:val="32"/>
                <w:lang w:val="en-US" w:eastAsia="zh-CN"/>
              </w:rPr>
              <w:t>为48万元。</w:t>
            </w:r>
          </w:p>
          <w:p>
            <w:p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本项目拟将原线下票务系统及其相关组件安全并完整地迁移至云端，与现有云端系统进行整合。迁移完成后，系统将充分利用云平台自身的高可用、跨可用区部署等原生能力，构建弹性的云原生高可用架构，从而全面提升系统的可靠性、弹性伸缩能力与运维管理效率。核心目标如下：</w:t>
            </w:r>
          </w:p>
          <w:p>
            <w:pPr>
              <w:ind w:firstLine="640" w:firstLineChars="200"/>
              <w:rPr>
                <w:rFonts w:hint="eastAsia" w:ascii="Times New Roman" w:hAnsi="Times New Roman" w:eastAsia="方正仿宋_GBK"/>
                <w:color w:val="000000"/>
                <w:sz w:val="32"/>
                <w:szCs w:val="32"/>
                <w:lang w:val="zh-TW"/>
              </w:rPr>
            </w:pP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en-US" w:eastAsia="zh-CN"/>
              </w:rPr>
              <w:t>一</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完成系统全面云化</w:t>
            </w:r>
            <w:r>
              <w:rPr>
                <w:rFonts w:hint="eastAsia" w:ascii="Times New Roman" w:hAnsi="Times New Roman" w:eastAsia="方正仿宋_GBK"/>
                <w:color w:val="000000"/>
                <w:sz w:val="32"/>
                <w:szCs w:val="32"/>
                <w:lang w:val="en-US" w:eastAsia="zh-CN"/>
              </w:rPr>
              <w:t>改造</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在现有云</w:t>
            </w:r>
            <w:r>
              <w:rPr>
                <w:rFonts w:hint="eastAsia" w:ascii="Times New Roman" w:hAnsi="Times New Roman" w:eastAsia="方正仿宋_GBK"/>
                <w:color w:val="000000"/>
                <w:sz w:val="32"/>
                <w:szCs w:val="32"/>
                <w:lang w:val="en-US" w:eastAsia="zh-CN"/>
              </w:rPr>
              <w:t>端</w:t>
            </w:r>
            <w:r>
              <w:rPr>
                <w:rFonts w:hint="eastAsia" w:ascii="Times New Roman" w:hAnsi="Times New Roman" w:eastAsia="方正仿宋_GBK"/>
                <w:color w:val="000000"/>
                <w:sz w:val="32"/>
                <w:szCs w:val="32"/>
                <w:lang w:val="zh-TW"/>
              </w:rPr>
              <w:t>系统的基础上，将运行于本地机房的原线下票务系统安全、完整、平滑地迁移并整合至云平台。迁移后，系统将充分利用云平台提供的高可用服务，实现业务的高可用性与数据的高可靠性，消除对物理硬件的单点故障依赖。</w:t>
            </w:r>
          </w:p>
          <w:p>
            <w:pPr>
              <w:ind w:firstLine="640" w:firstLineChars="200"/>
              <w:rPr>
                <w:rFonts w:hint="eastAsia" w:ascii="Times New Roman" w:hAnsi="Times New Roman" w:eastAsia="方正仿宋_GBK"/>
                <w:color w:val="000000"/>
                <w:sz w:val="32"/>
                <w:szCs w:val="32"/>
                <w:lang w:val="zh-TW"/>
              </w:rPr>
            </w:pP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en-US" w:eastAsia="zh-CN"/>
              </w:rPr>
              <w:t>二</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建立持续稳定的运维保障体系</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en-US" w:eastAsia="zh-CN"/>
              </w:rPr>
              <w:t>需</w:t>
            </w:r>
            <w:r>
              <w:rPr>
                <w:rFonts w:hint="eastAsia" w:ascii="Times New Roman" w:hAnsi="Times New Roman" w:eastAsia="方正仿宋_GBK"/>
                <w:color w:val="000000"/>
                <w:sz w:val="32"/>
                <w:szCs w:val="32"/>
                <w:lang w:val="zh-TW"/>
              </w:rPr>
              <w:t>提供专业运维服务，</w:t>
            </w:r>
            <w:r>
              <w:rPr>
                <w:rFonts w:hint="eastAsia" w:ascii="Times New Roman" w:hAnsi="Times New Roman" w:eastAsia="方正仿宋_GBK"/>
                <w:color w:val="000000"/>
                <w:sz w:val="32"/>
                <w:szCs w:val="32"/>
                <w:lang w:val="en-US" w:eastAsia="zh-CN"/>
              </w:rPr>
              <w:t>进行</w:t>
            </w:r>
            <w:r>
              <w:rPr>
                <w:rFonts w:hint="eastAsia" w:ascii="Times New Roman" w:hAnsi="Times New Roman" w:eastAsia="方正仿宋_GBK"/>
                <w:color w:val="000000"/>
                <w:sz w:val="32"/>
                <w:szCs w:val="32"/>
                <w:lang w:val="zh-TW"/>
              </w:rPr>
              <w:t>7x24小时的资源监控、应用维护、性能优化、应急响应与全方位安全保障，确保系统长期稳定运行，并持续满足网络安全等级保护三级要求。</w:t>
            </w:r>
          </w:p>
          <w:p>
            <w:pPr>
              <w:ind w:firstLine="640" w:firstLineChars="200"/>
              <w:rPr>
                <w:rFonts w:hint="eastAsia" w:ascii="Times New Roman" w:hAnsi="Times New Roman" w:eastAsia="方正仿宋_GBK"/>
                <w:color w:val="000000"/>
                <w:sz w:val="32"/>
                <w:szCs w:val="32"/>
                <w:lang w:val="zh-TW"/>
              </w:rPr>
            </w:pP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en-US" w:eastAsia="zh-CN"/>
              </w:rPr>
              <w:t>三</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确保业务无缝衔接与连续性</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保障在迁移实施、服务切换及未来运行的全生命周期内，票务业务零中断、核心数据零丢失、公众服务体验无损，实现平滑过渡与持续稳定运营。</w:t>
            </w:r>
          </w:p>
          <w:p>
            <w:pPr>
              <w:ind w:firstLine="640" w:firstLineChars="200"/>
              <w:rPr>
                <w:rFonts w:hint="default"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en-US" w:eastAsia="zh-CN"/>
              </w:rPr>
              <w:t>四</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夯实云上未来发展基础</w:t>
            </w:r>
            <w:r>
              <w:rPr>
                <w:rFonts w:hint="eastAsia" w:ascii="Times New Roman" w:hAnsi="Times New Roman" w:eastAsia="方正仿宋_GBK"/>
                <w:color w:val="000000"/>
                <w:sz w:val="32"/>
                <w:szCs w:val="32"/>
                <w:lang w:val="zh-TW" w:eastAsia="zh-CN"/>
              </w:rPr>
              <w:t>。</w:t>
            </w:r>
            <w:r>
              <w:rPr>
                <w:rFonts w:hint="eastAsia" w:ascii="Times New Roman" w:hAnsi="Times New Roman" w:eastAsia="方正仿宋_GBK"/>
                <w:color w:val="000000"/>
                <w:sz w:val="32"/>
                <w:szCs w:val="32"/>
                <w:lang w:val="zh-TW"/>
              </w:rPr>
              <w:t>为成都武侯祠博物馆构建一个技术先进、安全可靠、弹性灵活、易于扩展的现代化云原生智慧票务平台，以更高效、更经济的方式支撑博物馆未来智慧化建设与业务创新的长期发展需要。</w:t>
            </w:r>
          </w:p>
          <w:p>
            <w:pPr>
              <w:spacing w:line="580" w:lineRule="exact"/>
              <w:ind w:firstLine="643" w:firstLineChars="200"/>
              <w:jc w:val="left"/>
              <w:rPr>
                <w:rFonts w:hint="default" w:ascii="Times New Roman" w:hAnsi="Times New Roman" w:eastAsia="方正仿宋_GBK" w:cs="Times New Roman"/>
                <w:b/>
                <w:bCs/>
                <w:kern w:val="0"/>
                <w:sz w:val="32"/>
                <w:szCs w:val="32"/>
                <w:lang w:val="en-US" w:eastAsia="zh-CN"/>
              </w:rPr>
            </w:pPr>
            <w:bookmarkStart w:id="0" w:name="_Toc21755"/>
            <w:r>
              <w:rPr>
                <w:rFonts w:ascii="Times New Roman" w:hAnsi="Times New Roman" w:eastAsia="方正仿宋_GBK" w:cs="Times New Roman"/>
                <w:b/>
                <w:bCs/>
                <w:kern w:val="0"/>
                <w:sz w:val="32"/>
                <w:szCs w:val="32"/>
              </w:rPr>
              <w:t>二、项目</w:t>
            </w:r>
            <w:r>
              <w:rPr>
                <w:rFonts w:hint="eastAsia" w:ascii="Times New Roman" w:hAnsi="Times New Roman" w:eastAsia="方正仿宋_GBK" w:cs="Times New Roman"/>
                <w:b/>
                <w:bCs/>
                <w:kern w:val="0"/>
                <w:sz w:val="32"/>
                <w:szCs w:val="32"/>
                <w:lang w:val="en-US" w:eastAsia="zh-CN"/>
              </w:rPr>
              <w:t>技术、服务要求</w:t>
            </w:r>
          </w:p>
          <w:p>
            <w:pPr>
              <w:spacing w:line="580" w:lineRule="exact"/>
              <w:ind w:firstLine="643" w:firstLineChars="200"/>
              <w:jc w:val="left"/>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（一）项目实施目标</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依据《中华人民共和国网络安全法》《信息安全技术 网络安全等级保护基本要求》（GB/T 22239-2019）《网络安全技术 信息系统灾难恢复规范》（GB/T 20988-2025）等现行国家政策与标准要求，为构建技术先进、稳定可靠的云化票务系统并保障其长期安全、合规运行，拟采购主流云平台资源及相应的专业技术服务。具体包括：用于承载整体票务系统所需的云服务器、云数据库、云网络及云安全等资源；保障上述云平台资源稳定、高效、经济运行的云资源运维服务；确保票务应用软件持续可用与性能优化的票务系统软件运维服务；提供全天候安全监控、威胁防护与合规管理的安全运维服务。通过将现有本地系统完全迁移并整合至云平台，构建统一的、基于云原生高可用服务的“云上票务系统”，并配以全面的运维保障体系，充分利用云平台弹性与可靠性优势，确保业务连续性，并满足网络安全等级保护第三级的持续合规要求。具体如下：</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1.总体建设原则：遵循安全、高效、可靠、稳定原则，确保票务业务全天候不间断开展及核心数据的安全。通过云资源运维服务保障底层基础设施的健壮性，通过票务系统软件运维服务实现应用层的稳定运行与性能优化，共同提升系统的整体韧性、自愈能力与应急响应水平。</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2.云平台高可用架构实施与运维：利用云平台的多可用区部署、数据自动同步及备份功能，构建系统的高可用架构，确保核心数据在云端实现跨故障域的实时保护，以云原生备份能力替代传统独立物理灾备中心的建设。运维责任界定：运维单位负责上述高可用架构的规划部署、策略配置、日常监控及定期的演练。确保在发生单点故障或区域级灾害时，系统能按预定策略自动或手动恢复，保障业务连续性。</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3.高可用故障切换与业务连续性保障：充分利用云平台的多可用区高可用架构，建立冗余环境。当主运行环境发生计划内维护或计划外故障时，系统应具备快速切换至备用资源的能力。</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1）切换过程与运维职责</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故障发现与响应</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需通过云平台监控或应用探针实时感知故障，并在服务等级协议规定时间内做出响应。</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切换执行</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自动切换：对于数据库等支持自动故障转移的云资源，需预先配置高可用参数并定期验证其有效性；</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手动/半自动切换：对于应用服务或跨域流量，需执行流量调度及备用实例的启动与接管操作。</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数据与应用就绪：需确保备用环境的数据同步延迟在可接受范围内，并在切换后执行数据一致性校验与应用服务完整性验证，确保业务连续性与数据可访问性。</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4.数据备份与精细化恢复：利用云平台原生的备份与快照服务，结合云资源运维服务的备份策略管理，实现对数据的持续保护与精细化回溯，确保能将数据快速恢复至故障前的任意精确时间点。安全运维服务需确保备份数据存储与访问的安全性、完整性，防止备份数据被篡改或泄露。</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5.高可用架构与灾难恢复能力要求：系统架构设计应遵循高可用标准，确保核心数据实现实时同步。当主用资源发生故障时，应能通过云平台的高可用机制或运维团队的及时干预，快速恢复业务。整个恢复流程的有效性需通过常态化的运维服务进行验证与持续优化。</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1）业务连续性目标：为最大限度保障业务连续性与数据安全，系统需达成以下关键指标：业务恢复时间（RTO）目标不大于10分钟；数据恢复点（RPO）目标趋近于零。</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2）灾难恢复合规标准：系统整体的灾难恢复能力应满足《网络安全技术 信息系统灾难恢复规范》（GB/T 20988-2025）中第5级（实时数据传输及完整设备支持）或更高级别的技术要求。</w:t>
            </w:r>
          </w:p>
          <w:p>
            <w:pPr>
              <w:numPr>
                <w:ilvl w:val="0"/>
                <w:numId w:val="0"/>
              </w:numPr>
              <w:ind w:firstLine="640" w:firstLineChars="200"/>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3）安全运维保障：安全运维服务将贯穿系统全生命周期，通过构建纵深防御体系，确保持续符合网络安全等级保护三级相关要求。</w:t>
            </w:r>
          </w:p>
          <w:p>
            <w:pPr>
              <w:snapToGrid/>
              <w:spacing w:line="240" w:lineRule="auto"/>
              <w:ind w:left="0" w:firstLine="643" w:firstLineChars="200"/>
              <w:rPr>
                <w:rFonts w:ascii="宋体" w:hAnsi="宋体" w:eastAsia="宋体" w:cs="宋体"/>
                <w:b/>
                <w:i w:val="0"/>
                <w:strike w:val="0"/>
                <w:color w:val="000000"/>
                <w:sz w:val="32"/>
                <w:szCs w:val="32"/>
                <w:highlight w:val="none"/>
                <w:u w:val="none"/>
              </w:rPr>
            </w:pPr>
            <w:r>
              <w:rPr>
                <w:rFonts w:hint="eastAsia" w:ascii="方正仿宋_GBK" w:hAnsi="方正仿宋_GBK" w:eastAsia="方正仿宋_GBK" w:cs="方正仿宋_GBK"/>
                <w:b/>
                <w:i w:val="0"/>
                <w:strike w:val="0"/>
                <w:color w:val="000000"/>
                <w:sz w:val="32"/>
                <w:szCs w:val="32"/>
                <w:highlight w:val="none"/>
                <w:u w:val="none"/>
              </w:rPr>
              <w:t>（二）技术参数要求</w:t>
            </w:r>
          </w:p>
          <w:tbl>
            <w:tblPr>
              <w:tblStyle w:val="10"/>
              <w:tblW w:w="8250" w:type="dxa"/>
              <w:jc w:val="center"/>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035"/>
              <w:gridCol w:w="1410"/>
              <w:gridCol w:w="4785"/>
              <w:gridCol w:w="102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tcBorders>
                    <w:top w:val="single" w:color="000000" w:sz="1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b/>
                      <w:i w:val="0"/>
                      <w:strike w:val="0"/>
                      <w:color w:val="000000"/>
                      <w:spacing w:val="0"/>
                      <w:sz w:val="21"/>
                      <w:highlight w:val="none"/>
                      <w:u w:val="none"/>
                    </w:rPr>
                    <w:t>类别</w:t>
                  </w:r>
                </w:p>
              </w:tc>
              <w:tc>
                <w:tcPr>
                  <w:tcW w:w="1410" w:type="dxa"/>
                  <w:tcBorders>
                    <w:top w:val="single" w:color="000000" w:sz="1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b/>
                      <w:i w:val="0"/>
                      <w:strike w:val="0"/>
                      <w:color w:val="000000"/>
                      <w:spacing w:val="0"/>
                      <w:sz w:val="21"/>
                      <w:highlight w:val="none"/>
                      <w:u w:val="none"/>
                    </w:rPr>
                    <w:t>项目</w:t>
                  </w:r>
                </w:p>
              </w:tc>
              <w:tc>
                <w:tcPr>
                  <w:tcW w:w="4785" w:type="dxa"/>
                  <w:tcBorders>
                    <w:top w:val="single" w:color="000000" w:sz="1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b/>
                      <w:i w:val="0"/>
                      <w:strike w:val="0"/>
                      <w:color w:val="000000"/>
                      <w:spacing w:val="0"/>
                      <w:sz w:val="21"/>
                      <w:highlight w:val="none"/>
                      <w:u w:val="none"/>
                    </w:rPr>
                    <w:t>概述</w:t>
                  </w:r>
                </w:p>
              </w:tc>
              <w:tc>
                <w:tcPr>
                  <w:tcW w:w="1020" w:type="dxa"/>
                  <w:tcBorders>
                    <w:top w:val="single" w:color="000000" w:sz="1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b/>
                      <w:i w:val="0"/>
                      <w:strike w:val="0"/>
                      <w:color w:val="000000"/>
                      <w:spacing w:val="0"/>
                      <w:sz w:val="21"/>
                      <w:highlight w:val="none"/>
                      <w:u w:val="none"/>
                    </w:rPr>
                    <w:t>数量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restart"/>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云资源</w:t>
                  </w: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云服务器</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hint="eastAsia" w:ascii="宋体" w:hAnsi="宋体" w:eastAsia="宋体" w:cs="宋体"/>
                      <w:color w:val="000000"/>
                      <w:sz w:val="21"/>
                      <w:highlight w:val="none"/>
                      <w:lang w:eastAsia="zh-CN"/>
                    </w:rPr>
                  </w:pPr>
                  <w:r>
                    <w:rPr>
                      <w:rFonts w:ascii="宋体" w:hAnsi="宋体" w:eastAsia="宋体" w:cs="宋体"/>
                      <w:i w:val="0"/>
                      <w:strike w:val="0"/>
                      <w:color w:val="000000"/>
                      <w:spacing w:val="0"/>
                      <w:sz w:val="21"/>
                      <w:highlight w:val="none"/>
                      <w:u w:val="none"/>
                    </w:rPr>
                    <w:t>每台云服务器的基本配置要求：cpu≥8核，内存≥32G，系统盘≥300GB，弹性公网ip≥1个（用于系统应用出入网络）</w:t>
                  </w:r>
                  <w:r>
                    <w:rPr>
                      <w:rFonts w:hint="eastAsia" w:ascii="宋体" w:hAnsi="宋体" w:eastAsia="宋体" w:cs="宋体"/>
                      <w:i w:val="0"/>
                      <w:strike w:val="0"/>
                      <w:color w:val="000000"/>
                      <w:spacing w:val="0"/>
                      <w:sz w:val="21"/>
                      <w:highlight w:val="none"/>
                      <w:u w:val="none"/>
                      <w:lang w:eastAsia="zh-CN"/>
                    </w:rPr>
                    <w:t>，</w:t>
                  </w:r>
                  <w:r>
                    <w:rPr>
                      <w:rFonts w:hint="eastAsia" w:ascii="宋体" w:hAnsi="宋体" w:eastAsia="宋体" w:cs="宋体"/>
                      <w:i w:val="0"/>
                      <w:strike w:val="0"/>
                      <w:color w:val="000000"/>
                      <w:spacing w:val="0"/>
                      <w:sz w:val="21"/>
                      <w:highlight w:val="none"/>
                      <w:u w:val="none"/>
                    </w:rPr>
                    <w:t>操作系统</w:t>
                  </w:r>
                  <w:r>
                    <w:rPr>
                      <w:rFonts w:hint="eastAsia" w:ascii="宋体" w:hAnsi="宋体" w:eastAsia="宋体" w:cs="宋体"/>
                      <w:i w:val="0"/>
                      <w:strike w:val="0"/>
                      <w:color w:val="000000"/>
                      <w:spacing w:val="0"/>
                      <w:sz w:val="21"/>
                      <w:highlight w:val="none"/>
                      <w:u w:val="none"/>
                      <w:lang w:eastAsia="zh-CN"/>
                    </w:rPr>
                    <w:t>：Alibaba Cloud Linux 3.2104 LTS 64位。</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6台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云数据库</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hint="eastAsia" w:ascii="宋体" w:hAnsi="宋体" w:eastAsia="宋体" w:cs="宋体"/>
                      <w:color w:val="000000"/>
                      <w:sz w:val="21"/>
                      <w:highlight w:val="none"/>
                      <w:lang w:eastAsia="zh-CN"/>
                    </w:rPr>
                  </w:pPr>
                  <w:r>
                    <w:rPr>
                      <w:rFonts w:ascii="宋体" w:hAnsi="宋体" w:eastAsia="宋体" w:cs="宋体"/>
                      <w:i w:val="0"/>
                      <w:strike w:val="0"/>
                      <w:color w:val="000000"/>
                      <w:spacing w:val="0"/>
                      <w:sz w:val="21"/>
                      <w:highlight w:val="none"/>
                      <w:u w:val="none"/>
                    </w:rPr>
                    <w:t>数据库集群系列：CPU≥16核，内存≥32GB，存储空间≥100GB，并发连接数≥14000</w:t>
                  </w:r>
                  <w:r>
                    <w:rPr>
                      <w:rFonts w:hint="eastAsia" w:ascii="宋体" w:hAnsi="宋体" w:eastAsia="宋体" w:cs="宋体"/>
                      <w:i w:val="0"/>
                      <w:strike w:val="0"/>
                      <w:color w:val="000000"/>
                      <w:spacing w:val="0"/>
                      <w:sz w:val="21"/>
                      <w:highlight w:val="none"/>
                      <w:u w:val="none"/>
                      <w:lang w:eastAsia="zh-CN"/>
                    </w:rPr>
                    <w:t>，数据库类型：MySQL8.0</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i w:val="0"/>
                      <w:strike w:val="0"/>
                      <w:color w:val="000000"/>
                      <w:spacing w:val="0"/>
                      <w:sz w:val="21"/>
                      <w:highlight w:val="none"/>
                      <w:u w:val="none"/>
                    </w:rPr>
                  </w:pPr>
                  <w:r>
                    <w:rPr>
                      <w:rFonts w:hint="eastAsia" w:ascii="宋体" w:hAnsi="宋体" w:eastAsia="宋体" w:cs="宋体"/>
                      <w:i w:val="0"/>
                      <w:strike w:val="0"/>
                      <w:color w:val="000000"/>
                      <w:spacing w:val="0"/>
                      <w:sz w:val="21"/>
                      <w:highlight w:val="none"/>
                      <w:u w:val="none"/>
                    </w:rPr>
                    <w:t>手机决策端云服务器</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hint="eastAsia" w:ascii="宋体" w:hAnsi="宋体" w:eastAsia="宋体" w:cs="宋体"/>
                      <w:i w:val="0"/>
                      <w:strike w:val="0"/>
                      <w:color w:val="000000"/>
                      <w:spacing w:val="0"/>
                      <w:sz w:val="21"/>
                      <w:highlight w:val="none"/>
                      <w:u w:val="none"/>
                      <w:lang w:eastAsia="zh-CN"/>
                    </w:rPr>
                  </w:pPr>
                  <w:r>
                    <w:rPr>
                      <w:rFonts w:ascii="宋体" w:hAnsi="宋体" w:eastAsia="宋体" w:cs="宋体"/>
                      <w:i w:val="0"/>
                      <w:strike w:val="0"/>
                      <w:color w:val="000000"/>
                      <w:spacing w:val="0"/>
                      <w:sz w:val="21"/>
                      <w:highlight w:val="none"/>
                      <w:u w:val="none"/>
                    </w:rPr>
                    <w:t>每台云服务器的基本配置要求：cpu≥</w:t>
                  </w:r>
                  <w:r>
                    <w:rPr>
                      <w:rFonts w:hint="eastAsia" w:ascii="宋体" w:hAnsi="宋体" w:eastAsia="宋体" w:cs="宋体"/>
                      <w:i w:val="0"/>
                      <w:strike w:val="0"/>
                      <w:color w:val="000000"/>
                      <w:spacing w:val="0"/>
                      <w:sz w:val="21"/>
                      <w:highlight w:val="none"/>
                      <w:u w:val="none"/>
                    </w:rPr>
                    <w:t>4</w:t>
                  </w:r>
                  <w:r>
                    <w:rPr>
                      <w:rFonts w:ascii="宋体" w:hAnsi="宋体" w:eastAsia="宋体" w:cs="宋体"/>
                      <w:i w:val="0"/>
                      <w:strike w:val="0"/>
                      <w:color w:val="000000"/>
                      <w:spacing w:val="0"/>
                      <w:sz w:val="21"/>
                      <w:highlight w:val="none"/>
                      <w:u w:val="none"/>
                    </w:rPr>
                    <w:t>核，内存≥</w:t>
                  </w:r>
                  <w:r>
                    <w:rPr>
                      <w:rFonts w:hint="eastAsia" w:ascii="宋体" w:hAnsi="宋体" w:eastAsia="宋体" w:cs="宋体"/>
                      <w:i w:val="0"/>
                      <w:strike w:val="0"/>
                      <w:color w:val="000000"/>
                      <w:spacing w:val="0"/>
                      <w:sz w:val="21"/>
                      <w:highlight w:val="none"/>
                      <w:u w:val="none"/>
                    </w:rPr>
                    <w:t>8</w:t>
                  </w:r>
                  <w:r>
                    <w:rPr>
                      <w:rFonts w:ascii="宋体" w:hAnsi="宋体" w:eastAsia="宋体" w:cs="宋体"/>
                      <w:i w:val="0"/>
                      <w:strike w:val="0"/>
                      <w:color w:val="000000"/>
                      <w:spacing w:val="0"/>
                      <w:sz w:val="21"/>
                      <w:highlight w:val="none"/>
                      <w:u w:val="none"/>
                    </w:rPr>
                    <w:t>G，系统盘≥</w:t>
                  </w:r>
                  <w:r>
                    <w:rPr>
                      <w:rFonts w:hint="eastAsia" w:ascii="宋体" w:hAnsi="宋体" w:eastAsia="宋体" w:cs="宋体"/>
                      <w:i w:val="0"/>
                      <w:strike w:val="0"/>
                      <w:color w:val="000000"/>
                      <w:spacing w:val="0"/>
                      <w:sz w:val="21"/>
                      <w:highlight w:val="none"/>
                      <w:u w:val="none"/>
                    </w:rPr>
                    <w:t>2</w:t>
                  </w:r>
                  <w:r>
                    <w:rPr>
                      <w:rFonts w:ascii="宋体" w:hAnsi="宋体" w:eastAsia="宋体" w:cs="宋体"/>
                      <w:i w:val="0"/>
                      <w:strike w:val="0"/>
                      <w:color w:val="000000"/>
                      <w:spacing w:val="0"/>
                      <w:sz w:val="21"/>
                      <w:highlight w:val="none"/>
                      <w:u w:val="none"/>
                    </w:rPr>
                    <w:t>00GB，弹性公网ip≥1个（用于系统应用出入网络）</w:t>
                  </w:r>
                  <w:r>
                    <w:rPr>
                      <w:rFonts w:hint="eastAsia" w:ascii="宋体" w:hAnsi="宋体" w:eastAsia="宋体" w:cs="宋体"/>
                      <w:i w:val="0"/>
                      <w:strike w:val="0"/>
                      <w:color w:val="000000"/>
                      <w:spacing w:val="0"/>
                      <w:sz w:val="21"/>
                      <w:highlight w:val="none"/>
                      <w:u w:val="none"/>
                      <w:lang w:eastAsia="zh-CN"/>
                    </w:rPr>
                    <w:t>，</w:t>
                  </w:r>
                  <w:r>
                    <w:rPr>
                      <w:rFonts w:hint="eastAsia" w:ascii="宋体" w:hAnsi="宋体" w:eastAsia="宋体" w:cs="宋体"/>
                      <w:i w:val="0"/>
                      <w:strike w:val="0"/>
                      <w:color w:val="000000"/>
                      <w:spacing w:val="0"/>
                      <w:sz w:val="21"/>
                      <w:highlight w:val="none"/>
                      <w:u w:val="none"/>
                    </w:rPr>
                    <w:t>操作系统</w:t>
                  </w:r>
                  <w:r>
                    <w:rPr>
                      <w:rFonts w:hint="eastAsia" w:ascii="宋体" w:hAnsi="宋体" w:eastAsia="宋体" w:cs="宋体"/>
                      <w:i w:val="0"/>
                      <w:strike w:val="0"/>
                      <w:color w:val="000000"/>
                      <w:spacing w:val="0"/>
                      <w:sz w:val="21"/>
                      <w:highlight w:val="none"/>
                      <w:u w:val="none"/>
                      <w:lang w:eastAsia="zh-CN"/>
                    </w:rPr>
                    <w:t>：Alibaba Cloud Linux 3.2104 LTS 64位。</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i w:val="0"/>
                      <w:strike w:val="0"/>
                      <w:color w:val="000000"/>
                      <w:spacing w:val="0"/>
                      <w:sz w:val="21"/>
                      <w:highlight w:val="none"/>
                      <w:u w:val="none"/>
                    </w:rPr>
                  </w:pPr>
                  <w:r>
                    <w:rPr>
                      <w:rFonts w:hint="eastAsia" w:ascii="宋体" w:hAnsi="宋体" w:eastAsia="宋体" w:cs="宋体"/>
                      <w:i w:val="0"/>
                      <w:strike w:val="0"/>
                      <w:color w:val="000000"/>
                      <w:spacing w:val="0"/>
                      <w:sz w:val="21"/>
                      <w:highlight w:val="none"/>
                      <w:u w:val="none"/>
                    </w:rPr>
                    <w:t>2台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i w:val="0"/>
                      <w:strike w:val="0"/>
                      <w:color w:val="000000"/>
                      <w:spacing w:val="0"/>
                      <w:sz w:val="21"/>
                      <w:highlight w:val="none"/>
                      <w:u w:val="none"/>
                    </w:rPr>
                  </w:pPr>
                  <w:r>
                    <w:rPr>
                      <w:rFonts w:hint="eastAsia" w:ascii="宋体" w:hAnsi="宋体" w:eastAsia="宋体" w:cs="宋体"/>
                      <w:i w:val="0"/>
                      <w:strike w:val="0"/>
                      <w:color w:val="000000"/>
                      <w:spacing w:val="0"/>
                      <w:sz w:val="21"/>
                      <w:highlight w:val="none"/>
                      <w:u w:val="none"/>
                    </w:rPr>
                    <w:t>手机决策端云数据库</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hint="eastAsia" w:ascii="宋体" w:hAnsi="宋体" w:eastAsia="宋体" w:cs="宋体"/>
                      <w:i w:val="0"/>
                      <w:strike w:val="0"/>
                      <w:color w:val="000000"/>
                      <w:spacing w:val="0"/>
                      <w:sz w:val="21"/>
                      <w:highlight w:val="none"/>
                      <w:u w:val="none"/>
                      <w:lang w:eastAsia="zh-CN"/>
                    </w:rPr>
                  </w:pPr>
                  <w:r>
                    <w:rPr>
                      <w:rFonts w:ascii="宋体" w:hAnsi="宋体" w:eastAsia="宋体" w:cs="宋体"/>
                      <w:i w:val="0"/>
                      <w:strike w:val="0"/>
                      <w:color w:val="000000"/>
                      <w:spacing w:val="0"/>
                      <w:sz w:val="21"/>
                      <w:highlight w:val="none"/>
                      <w:u w:val="none"/>
                    </w:rPr>
                    <w:t>数据库集群系列：CPU≥</w:t>
                  </w:r>
                  <w:r>
                    <w:rPr>
                      <w:rFonts w:hint="eastAsia" w:ascii="宋体" w:hAnsi="宋体" w:eastAsia="宋体" w:cs="宋体"/>
                      <w:i w:val="0"/>
                      <w:strike w:val="0"/>
                      <w:color w:val="000000"/>
                      <w:spacing w:val="0"/>
                      <w:sz w:val="21"/>
                      <w:highlight w:val="none"/>
                      <w:u w:val="none"/>
                    </w:rPr>
                    <w:t>8</w:t>
                  </w:r>
                  <w:r>
                    <w:rPr>
                      <w:rFonts w:ascii="宋体" w:hAnsi="宋体" w:eastAsia="宋体" w:cs="宋体"/>
                      <w:i w:val="0"/>
                      <w:strike w:val="0"/>
                      <w:color w:val="000000"/>
                      <w:spacing w:val="0"/>
                      <w:sz w:val="21"/>
                      <w:highlight w:val="none"/>
                      <w:u w:val="none"/>
                    </w:rPr>
                    <w:t>核，内存≥</w:t>
                  </w:r>
                  <w:r>
                    <w:rPr>
                      <w:rFonts w:hint="eastAsia" w:ascii="宋体" w:hAnsi="宋体" w:eastAsia="宋体" w:cs="宋体"/>
                      <w:i w:val="0"/>
                      <w:strike w:val="0"/>
                      <w:color w:val="000000"/>
                      <w:spacing w:val="0"/>
                      <w:sz w:val="21"/>
                      <w:highlight w:val="none"/>
                      <w:u w:val="none"/>
                    </w:rPr>
                    <w:t>16</w:t>
                  </w:r>
                  <w:r>
                    <w:rPr>
                      <w:rFonts w:ascii="宋体" w:hAnsi="宋体" w:eastAsia="宋体" w:cs="宋体"/>
                      <w:i w:val="0"/>
                      <w:strike w:val="0"/>
                      <w:color w:val="000000"/>
                      <w:spacing w:val="0"/>
                      <w:sz w:val="21"/>
                      <w:highlight w:val="none"/>
                      <w:u w:val="none"/>
                    </w:rPr>
                    <w:t>GB，存储空间≥</w:t>
                  </w:r>
                  <w:r>
                    <w:rPr>
                      <w:rFonts w:hint="eastAsia" w:ascii="宋体" w:hAnsi="宋体" w:eastAsia="宋体" w:cs="宋体"/>
                      <w:i w:val="0"/>
                      <w:strike w:val="0"/>
                      <w:color w:val="000000"/>
                      <w:spacing w:val="0"/>
                      <w:sz w:val="21"/>
                      <w:highlight w:val="none"/>
                      <w:u w:val="none"/>
                    </w:rPr>
                    <w:t>2</w:t>
                  </w:r>
                  <w:r>
                    <w:rPr>
                      <w:rFonts w:ascii="宋体" w:hAnsi="宋体" w:eastAsia="宋体" w:cs="宋体"/>
                      <w:i w:val="0"/>
                      <w:strike w:val="0"/>
                      <w:color w:val="000000"/>
                      <w:spacing w:val="0"/>
                      <w:sz w:val="21"/>
                      <w:highlight w:val="none"/>
                      <w:u w:val="none"/>
                    </w:rPr>
                    <w:t>00GB</w:t>
                  </w:r>
                  <w:r>
                    <w:rPr>
                      <w:rFonts w:hint="eastAsia" w:ascii="宋体" w:hAnsi="宋体" w:eastAsia="宋体" w:cs="宋体"/>
                      <w:i w:val="0"/>
                      <w:strike w:val="0"/>
                      <w:color w:val="000000"/>
                      <w:spacing w:val="0"/>
                      <w:sz w:val="21"/>
                      <w:highlight w:val="none"/>
                      <w:u w:val="none"/>
                      <w:lang w:eastAsia="zh-CN"/>
                    </w:rPr>
                    <w:t>，数据库类型：MySQL8.0</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i w:val="0"/>
                      <w:strike w:val="0"/>
                      <w:color w:val="000000"/>
                      <w:spacing w:val="0"/>
                      <w:sz w:val="21"/>
                      <w:highlight w:val="none"/>
                      <w:u w:val="none"/>
                    </w:rPr>
                  </w:pPr>
                  <w:r>
                    <w:rPr>
                      <w:rFonts w:hint="eastAsia"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Redis</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hint="eastAsia" w:ascii="宋体" w:hAnsi="宋体" w:eastAsia="宋体" w:cs="宋体"/>
                      <w:color w:val="000000"/>
                      <w:sz w:val="21"/>
                      <w:highlight w:val="none"/>
                      <w:lang w:eastAsia="zh-CN"/>
                    </w:rPr>
                  </w:pPr>
                  <w:r>
                    <w:rPr>
                      <w:rFonts w:ascii="宋体" w:hAnsi="宋体" w:eastAsia="宋体" w:cs="宋体"/>
                      <w:i w:val="0"/>
                      <w:strike w:val="0"/>
                      <w:color w:val="000000"/>
                      <w:spacing w:val="0"/>
                      <w:sz w:val="21"/>
                      <w:highlight w:val="none"/>
                      <w:u w:val="none"/>
                    </w:rPr>
                    <w:t>标准版≥4GB</w:t>
                  </w:r>
                  <w:r>
                    <w:rPr>
                      <w:rFonts w:hint="eastAsia" w:ascii="宋体" w:hAnsi="宋体" w:eastAsia="宋体" w:cs="宋体"/>
                      <w:i w:val="0"/>
                      <w:strike w:val="0"/>
                      <w:color w:val="000000"/>
                      <w:spacing w:val="0"/>
                      <w:sz w:val="21"/>
                      <w:highlight w:val="none"/>
                      <w:u w:val="none"/>
                      <w:lang w:eastAsia="zh-CN"/>
                    </w:rPr>
                    <w:t>，版本：6.0，最大连接数：20,000</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DTS数据传输</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hint="eastAsia" w:ascii="宋体" w:hAnsi="宋体" w:eastAsia="宋体" w:cs="宋体"/>
                      <w:color w:val="000000"/>
                      <w:sz w:val="21"/>
                      <w:highlight w:val="none"/>
                      <w:lang w:eastAsia="zh-CN"/>
                    </w:rPr>
                  </w:pPr>
                  <w:r>
                    <w:rPr>
                      <w:rFonts w:ascii="宋体" w:hAnsi="宋体" w:eastAsia="宋体" w:cs="宋体"/>
                      <w:i w:val="0"/>
                      <w:strike w:val="0"/>
                      <w:color w:val="000000"/>
                      <w:spacing w:val="0"/>
                      <w:sz w:val="21"/>
                      <w:highlight w:val="none"/>
                      <w:u w:val="none"/>
                    </w:rPr>
                    <w:t>数据库同步传输单向</w:t>
                  </w:r>
                  <w:r>
                    <w:rPr>
                      <w:rFonts w:hint="eastAsia" w:ascii="宋体" w:hAnsi="宋体" w:eastAsia="宋体" w:cs="宋体"/>
                      <w:i w:val="0"/>
                      <w:strike w:val="0"/>
                      <w:color w:val="000000"/>
                      <w:spacing w:val="0"/>
                      <w:sz w:val="21"/>
                      <w:highlight w:val="none"/>
                      <w:u w:val="none"/>
                      <w:lang w:eastAsia="zh-CN"/>
                    </w:rPr>
                    <w:t>，源数据库类型MySQL，目标数据库类型MySQL</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共享流量资源包</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≥10TB</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独享端口费</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高速通道-资源占用费</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云防火墙</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可针对云上网络资产的互联网边界、VPC边界及主机边界实现三位一体的统一安全隔离管控，是业务上云的第一道网络防线。</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数据备份</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具备快照、hbr备份、db备份，保障源码，票务数据等核心数据备份功能。</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日志审计</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≥2T存储</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WAF</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vertAlign w:val="baseline"/>
                    </w:rPr>
                    <w:t>WAF高级版，可有效拦截Web通用攻击（如SQL注入、XSS跨站等）或是应用资源消耗型攻击（CC），同时也满足网站从流量管理角度来防御业务风险，如Bot防御、账户安全</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云安全中心</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vertAlign w:val="baseline"/>
                    </w:rPr>
                    <w:t>提供云上资产管理、配置核查、主动防御</w:t>
                  </w:r>
                  <w:r>
                    <w:rPr>
                      <w:rFonts w:hint="eastAsia" w:ascii="宋体" w:hAnsi="宋体" w:eastAsia="宋体" w:cs="宋体"/>
                      <w:i w:val="0"/>
                      <w:strike w:val="0"/>
                      <w:color w:val="000000"/>
                      <w:spacing w:val="0"/>
                      <w:sz w:val="21"/>
                      <w:highlight w:val="none"/>
                      <w:u w:val="none"/>
                      <w:vertAlign w:val="baseline"/>
                      <w:lang w:eastAsia="zh-CN"/>
                    </w:rPr>
                    <w:t>、</w:t>
                  </w:r>
                  <w:r>
                    <w:rPr>
                      <w:rFonts w:hint="eastAsia" w:ascii="宋体" w:hAnsi="宋体" w:eastAsia="宋体" w:cs="宋体"/>
                      <w:i w:val="0"/>
                      <w:strike w:val="0"/>
                      <w:color w:val="000000"/>
                      <w:spacing w:val="0"/>
                      <w:sz w:val="21"/>
                      <w:highlight w:val="none"/>
                      <w:u w:val="none"/>
                      <w:vertAlign w:val="baseline"/>
                      <w:lang w:val="en-US" w:eastAsia="zh-CN"/>
                    </w:rPr>
                    <w:t>防病毒</w:t>
                  </w:r>
                  <w:r>
                    <w:rPr>
                      <w:rFonts w:ascii="宋体" w:hAnsi="宋体" w:eastAsia="宋体" w:cs="宋体"/>
                      <w:i w:val="0"/>
                      <w:strike w:val="0"/>
                      <w:color w:val="000000"/>
                      <w:spacing w:val="0"/>
                      <w:sz w:val="21"/>
                      <w:highlight w:val="none"/>
                      <w:u w:val="none"/>
                      <w:vertAlign w:val="baseline"/>
                    </w:rPr>
                    <w:t>、安全加固、云产品配置评估和安全可视化等能力</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VPN</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加密远程访问通道，保障外部接入安全</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SSL证书</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通配型ssl证书；</w:t>
                  </w:r>
                </w:p>
                <w:p>
                  <w:pPr>
                    <w:snapToGrid w:val="0"/>
                    <w:spacing w:before="0" w:after="0" w:line="400" w:lineRule="exact"/>
                    <w:ind w:left="0" w:right="0" w:firstLine="0" w:firstLineChars="0"/>
                    <w:jc w:val="left"/>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可适配多个二级域名</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1个</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2863" w:hRule="atLeast"/>
                <w:jc w:val="center"/>
              </w:trPr>
              <w:tc>
                <w:tcPr>
                  <w:tcW w:w="1035" w:type="dxa"/>
                  <w:vMerge w:val="restart"/>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运维服务</w:t>
                  </w: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hint="eastAsia" w:ascii="宋体" w:hAnsi="宋体" w:eastAsia="宋体" w:cs="宋体"/>
                      <w:color w:val="000000"/>
                      <w:sz w:val="21"/>
                      <w:highlight w:val="none"/>
                    </w:rPr>
                    <w:t>云资源运维服务</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ind w:left="0"/>
                    <w:rPr>
                      <w:rFonts w:ascii="宋体" w:hAnsi="宋体" w:eastAsia="宋体" w:cs="宋体"/>
                      <w:color w:val="000000"/>
                      <w:sz w:val="21"/>
                      <w:highlight w:val="none"/>
                    </w:rPr>
                  </w:pPr>
                  <w:r>
                    <w:rPr>
                      <w:rFonts w:ascii="宋体" w:hAnsi="宋体" w:eastAsia="宋体" w:cs="宋体"/>
                      <w:i w:val="0"/>
                      <w:strike w:val="0"/>
                      <w:color w:val="000000"/>
                      <w:sz w:val="21"/>
                      <w:highlight w:val="none"/>
                      <w:u w:val="none"/>
                    </w:rPr>
                    <w:t>负责为支撑</w:t>
                  </w:r>
                  <w:r>
                    <w:rPr>
                      <w:rFonts w:hint="eastAsia" w:ascii="宋体" w:hAnsi="宋体" w:eastAsia="宋体" w:cs="宋体"/>
                      <w:i w:val="0"/>
                      <w:strike w:val="0"/>
                      <w:color w:val="000000"/>
                      <w:sz w:val="21"/>
                      <w:highlight w:val="none"/>
                      <w:u w:val="none"/>
                      <w:lang w:val="en-US" w:eastAsia="zh-CN"/>
                    </w:rPr>
                    <w:t>票务系统</w:t>
                  </w:r>
                  <w:r>
                    <w:rPr>
                      <w:rFonts w:ascii="宋体" w:hAnsi="宋体" w:eastAsia="宋体" w:cs="宋体"/>
                      <w:i w:val="0"/>
                      <w:strike w:val="0"/>
                      <w:color w:val="000000"/>
                      <w:sz w:val="21"/>
                      <w:highlight w:val="none"/>
                      <w:u w:val="none"/>
                    </w:rPr>
                    <w:t>的云计算基础资源提供全天候运维保障，确保基础设施的稳定、高效与成本优化。具体包括：</w:t>
                  </w:r>
                </w:p>
                <w:p>
                  <w:pPr>
                    <w:numPr>
                      <w:ilvl w:val="0"/>
                      <w:numId w:val="1"/>
                    </w:numPr>
                    <w:snapToGrid/>
                    <w:spacing w:line="240" w:lineRule="auto"/>
                    <w:jc w:val="both"/>
                    <w:rPr>
                      <w:rFonts w:ascii="宋体" w:hAnsi="宋体" w:eastAsia="宋体" w:cs="宋体"/>
                      <w:color w:val="000000"/>
                      <w:sz w:val="21"/>
                      <w:highlight w:val="none"/>
                    </w:rPr>
                  </w:pPr>
                  <w:r>
                    <w:rPr>
                      <w:rFonts w:ascii="宋体" w:hAnsi="宋体" w:eastAsia="宋体" w:cs="宋体"/>
                      <w:b/>
                      <w:i w:val="0"/>
                      <w:strike w:val="0"/>
                      <w:color w:val="000000"/>
                      <w:sz w:val="21"/>
                      <w:highlight w:val="none"/>
                      <w:u w:val="none"/>
                    </w:rPr>
                    <w:t>资源生命周期管理</w:t>
                  </w:r>
                  <w:r>
                    <w:rPr>
                      <w:rFonts w:ascii="宋体" w:hAnsi="宋体" w:eastAsia="宋体" w:cs="宋体"/>
                      <w:i w:val="0"/>
                      <w:strike w:val="0"/>
                      <w:color w:val="000000"/>
                      <w:sz w:val="21"/>
                      <w:highlight w:val="none"/>
                      <w:u w:val="none"/>
                    </w:rPr>
                    <w:t>：负责云服务器、云数据库、对象存储、负载均衡、虚拟网络等云资源的规划、部署、配置、监控、弹性伸缩与回收。</w:t>
                  </w:r>
                </w:p>
                <w:p>
                  <w:pPr>
                    <w:numPr>
                      <w:ilvl w:val="0"/>
                      <w:numId w:val="1"/>
                    </w:numPr>
                    <w:snapToGrid/>
                    <w:spacing w:line="240" w:lineRule="auto"/>
                    <w:jc w:val="both"/>
                    <w:rPr>
                      <w:rFonts w:ascii="宋体" w:hAnsi="宋体" w:eastAsia="宋体" w:cs="宋体"/>
                      <w:color w:val="000000"/>
                      <w:sz w:val="21"/>
                      <w:highlight w:val="none"/>
                    </w:rPr>
                  </w:pPr>
                  <w:r>
                    <w:rPr>
                      <w:rFonts w:ascii="宋体" w:hAnsi="宋体" w:eastAsia="宋体" w:cs="宋体"/>
                      <w:b/>
                      <w:i w:val="0"/>
                      <w:strike w:val="0"/>
                      <w:color w:val="000000"/>
                      <w:sz w:val="21"/>
                      <w:highlight w:val="none"/>
                      <w:u w:val="none"/>
                    </w:rPr>
                    <w:t>平台监控与性能优化</w:t>
                  </w:r>
                  <w:r>
                    <w:rPr>
                      <w:rFonts w:ascii="宋体" w:hAnsi="宋体" w:eastAsia="宋体" w:cs="宋体"/>
                      <w:i w:val="0"/>
                      <w:strike w:val="0"/>
                      <w:color w:val="000000"/>
                      <w:sz w:val="21"/>
                      <w:highlight w:val="none"/>
                      <w:u w:val="none"/>
                    </w:rPr>
                    <w:t>：对云资源的健康状况、性能指标（如CPU、内存、磁盘IO、网络流量、数据库连接数）进行7x24小时监控、告警与性能分析，并根据业务负载进行容量规划与调优。</w:t>
                  </w:r>
                </w:p>
                <w:p>
                  <w:pPr>
                    <w:numPr>
                      <w:ilvl w:val="0"/>
                      <w:numId w:val="1"/>
                    </w:numPr>
                    <w:snapToGrid/>
                    <w:spacing w:line="240" w:lineRule="auto"/>
                    <w:jc w:val="both"/>
                    <w:rPr>
                      <w:rFonts w:ascii="宋体" w:hAnsi="宋体" w:eastAsia="宋体" w:cs="宋体"/>
                      <w:color w:val="000000"/>
                      <w:sz w:val="21"/>
                      <w:highlight w:val="none"/>
                    </w:rPr>
                  </w:pPr>
                  <w:r>
                    <w:rPr>
                      <w:rFonts w:ascii="宋体" w:hAnsi="宋体" w:eastAsia="宋体" w:cs="宋体"/>
                      <w:b/>
                      <w:i w:val="0"/>
                      <w:strike w:val="0"/>
                      <w:color w:val="000000"/>
                      <w:sz w:val="21"/>
                      <w:highlight w:val="none"/>
                      <w:u w:val="none"/>
                    </w:rPr>
                    <w:t>备份管理</w:t>
                  </w:r>
                  <w:r>
                    <w:rPr>
                      <w:rFonts w:ascii="宋体" w:hAnsi="宋体" w:eastAsia="宋体" w:cs="宋体"/>
                      <w:i w:val="0"/>
                      <w:strike w:val="0"/>
                      <w:color w:val="000000"/>
                      <w:sz w:val="21"/>
                      <w:highlight w:val="none"/>
                      <w:u w:val="none"/>
                    </w:rPr>
                    <w:t>：执行并验证云上系统与数据的备份策略，管理备份周期与保留策略。在发生故障时，执行既定的恢复流程（RPO/RTO），并定期组织演练。</w:t>
                  </w:r>
                </w:p>
                <w:p>
                  <w:pPr>
                    <w:numPr>
                      <w:ilvl w:val="0"/>
                      <w:numId w:val="1"/>
                    </w:numPr>
                    <w:snapToGrid/>
                    <w:spacing w:line="240" w:lineRule="auto"/>
                    <w:jc w:val="both"/>
                    <w:rPr>
                      <w:rFonts w:ascii="宋体" w:hAnsi="宋体" w:eastAsia="宋体" w:cs="宋体"/>
                      <w:color w:val="000000"/>
                      <w:sz w:val="21"/>
                      <w:highlight w:val="none"/>
                    </w:rPr>
                  </w:pPr>
                  <w:r>
                    <w:rPr>
                      <w:rFonts w:ascii="宋体" w:hAnsi="宋体" w:eastAsia="宋体" w:cs="宋体"/>
                      <w:b/>
                      <w:i w:val="0"/>
                      <w:strike w:val="0"/>
                      <w:color w:val="000000"/>
                      <w:sz w:val="21"/>
                      <w:highlight w:val="none"/>
                      <w:u w:val="none"/>
                    </w:rPr>
                    <w:t>网络与安全基础运维</w:t>
                  </w:r>
                  <w:r>
                    <w:rPr>
                      <w:rFonts w:ascii="宋体" w:hAnsi="宋体" w:eastAsia="宋体" w:cs="宋体"/>
                      <w:i w:val="0"/>
                      <w:strike w:val="0"/>
                      <w:color w:val="000000"/>
                      <w:sz w:val="21"/>
                      <w:highlight w:val="none"/>
                      <w:u w:val="none"/>
                    </w:rPr>
                    <w:t>：保障云上虚拟私有网络（VPC）、子网、安全组、网络ACL等网络组件的连通性、安全策略的正确配置与日常维护。</w:t>
                  </w:r>
                </w:p>
                <w:p>
                  <w:pPr>
                    <w:numPr>
                      <w:ilvl w:val="0"/>
                      <w:numId w:val="1"/>
                    </w:numPr>
                    <w:pBdr>
                      <w:bottom w:val="none" w:color="auto" w:sz="0" w:space="0"/>
                    </w:pBdr>
                    <w:snapToGrid/>
                    <w:spacing w:line="240" w:lineRule="auto"/>
                    <w:jc w:val="both"/>
                    <w:rPr>
                      <w:rFonts w:ascii="宋体" w:hAnsi="宋体" w:eastAsia="宋体" w:cs="宋体"/>
                      <w:color w:val="000000"/>
                      <w:sz w:val="21"/>
                      <w:highlight w:val="none"/>
                    </w:rPr>
                  </w:pPr>
                  <w:r>
                    <w:rPr>
                      <w:rFonts w:ascii="宋体" w:hAnsi="宋体" w:eastAsia="宋体" w:cs="宋体"/>
                      <w:b/>
                      <w:i w:val="0"/>
                      <w:strike w:val="0"/>
                      <w:color w:val="000000"/>
                      <w:sz w:val="21"/>
                      <w:highlight w:val="none"/>
                      <w:u w:val="none"/>
                    </w:rPr>
                    <w:t>成本与资源优化</w:t>
                  </w:r>
                  <w:r>
                    <w:rPr>
                      <w:rFonts w:ascii="宋体" w:hAnsi="宋体" w:eastAsia="宋体" w:cs="宋体"/>
                      <w:i w:val="0"/>
                      <w:strike w:val="0"/>
                      <w:color w:val="000000"/>
                      <w:sz w:val="21"/>
                      <w:highlight w:val="none"/>
                      <w:u w:val="none"/>
                    </w:rPr>
                    <w:t>：监控资源使用情况，提供优化建议，协助进行资源调整以提升利用率并控制成本。</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before="0" w:after="0" w:line="400" w:lineRule="exact"/>
                    <w:ind w:left="0" w:right="0" w:firstLine="0" w:firstLineChars="0"/>
                    <w:jc w:val="center"/>
                    <w:rPr>
                      <w:rFonts w:ascii="宋体" w:hAnsi="宋体" w:eastAsia="宋体" w:cs="宋体"/>
                      <w:color w:val="000000"/>
                      <w:sz w:val="21"/>
                      <w:highlight w:val="none"/>
                    </w:rPr>
                  </w:pPr>
                  <w:r>
                    <w:rPr>
                      <w:rFonts w:hint="eastAsia" w:ascii="宋体" w:hAnsi="宋体" w:eastAsia="宋体" w:cs="宋体"/>
                      <w:color w:val="000000"/>
                      <w:sz w:val="21"/>
                      <w:highlight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1898"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票务系统</w:t>
                  </w:r>
                  <w:r>
                    <w:rPr>
                      <w:rFonts w:hint="eastAsia" w:ascii="宋体" w:hAnsi="宋体" w:eastAsia="宋体" w:cs="宋体"/>
                      <w:i w:val="0"/>
                      <w:strike w:val="0"/>
                      <w:color w:val="000000"/>
                      <w:spacing w:val="0"/>
                      <w:sz w:val="21"/>
                      <w:highlight w:val="none"/>
                      <w:u w:val="none"/>
                    </w:rPr>
                    <w:t>应用软件</w:t>
                  </w:r>
                  <w:r>
                    <w:rPr>
                      <w:rFonts w:ascii="宋体" w:hAnsi="宋体" w:eastAsia="宋体" w:cs="宋体"/>
                      <w:i w:val="0"/>
                      <w:strike w:val="0"/>
                      <w:color w:val="000000"/>
                      <w:spacing w:val="0"/>
                      <w:sz w:val="21"/>
                      <w:highlight w:val="none"/>
                      <w:u w:val="none"/>
                    </w:rPr>
                    <w:t>运维服务</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ind w:left="0"/>
                    <w:rPr>
                      <w:rFonts w:ascii="宋体" w:hAnsi="宋体" w:eastAsia="宋体" w:cs="宋体"/>
                      <w:i w:val="0"/>
                      <w:strike w:val="0"/>
                      <w:color w:val="000000"/>
                      <w:sz w:val="21"/>
                      <w:highlight w:val="none"/>
                      <w:u w:val="none"/>
                    </w:rPr>
                  </w:pPr>
                  <w:r>
                    <w:rPr>
                      <w:rFonts w:ascii="宋体" w:hAnsi="宋体" w:eastAsia="宋体" w:cs="宋体"/>
                      <w:i w:val="0"/>
                      <w:strike w:val="0"/>
                      <w:color w:val="000000"/>
                      <w:sz w:val="21"/>
                      <w:highlight w:val="none"/>
                      <w:u w:val="none"/>
                    </w:rPr>
                    <w:t>保障运行在云基础设施之上的票务应用软件（包括售票、检票、管理后台</w:t>
                  </w:r>
                  <w:r>
                    <w:rPr>
                      <w:rFonts w:hint="eastAsia" w:ascii="宋体" w:hAnsi="宋体" w:eastAsia="宋体" w:cs="宋体"/>
                      <w:i w:val="0"/>
                      <w:strike w:val="0"/>
                      <w:color w:val="000000"/>
                      <w:sz w:val="21"/>
                      <w:highlight w:val="none"/>
                      <w:u w:val="none"/>
                    </w:rPr>
                    <w:t>、手机决策端</w:t>
                  </w:r>
                  <w:r>
                    <w:rPr>
                      <w:rFonts w:ascii="宋体" w:hAnsi="宋体" w:eastAsia="宋体" w:cs="宋体"/>
                      <w:i w:val="0"/>
                      <w:strike w:val="0"/>
                      <w:color w:val="000000"/>
                      <w:sz w:val="21"/>
                      <w:highlight w:val="none"/>
                      <w:u w:val="none"/>
                    </w:rPr>
                    <w:t>等）的可用性、功能正常与性能稳定。具体包括：</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rPr>
                    <w:t>1. 系统健康巡检与定期报告</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i w:val="0"/>
                      <w:strike w:val="0"/>
                      <w:color w:val="000000"/>
                      <w:sz w:val="21"/>
                      <w:highlight w:val="none"/>
                      <w:u w:val="none"/>
                    </w:rPr>
                    <w:t>日常巡检：</w:t>
                  </w:r>
                  <w:r>
                    <w:rPr>
                      <w:rFonts w:hint="eastAsia" w:ascii="宋体" w:hAnsi="宋体" w:eastAsia="宋体" w:cs="宋体"/>
                      <w:i w:val="0"/>
                      <w:strike w:val="0"/>
                      <w:color w:val="000000"/>
                      <w:sz w:val="21"/>
                      <w:highlight w:val="none"/>
                      <w:u w:val="none"/>
                    </w:rPr>
                    <w:t>对运行票务系统的云服务器操作系统、数据库（如MySQL等）、中间件（如Tomcat、Nginx、Redis等）及核心应用软件进行每日健康检查，监控其进程状态、资源利用率（CPU、内存、磁盘、连接数）、错误日志及关键业务接口可用性。</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i w:val="0"/>
                      <w:strike w:val="0"/>
                      <w:color w:val="000000"/>
                      <w:sz w:val="21"/>
                      <w:highlight w:val="none"/>
                      <w:u w:val="none"/>
                    </w:rPr>
                    <w:t>定期深度巡检与报告：</w:t>
                  </w:r>
                  <w:r>
                    <w:rPr>
                      <w:rFonts w:hint="eastAsia" w:ascii="宋体" w:hAnsi="宋体" w:eastAsia="宋体" w:cs="宋体"/>
                      <w:i w:val="0"/>
                      <w:strike w:val="0"/>
                      <w:color w:val="000000"/>
                      <w:sz w:val="21"/>
                      <w:highlight w:val="none"/>
                      <w:u w:val="none"/>
                    </w:rPr>
                    <w:t>在元旦、春节、五一、国庆四个重大节假日前，进行全面的深度巡检，配合第三方性能压力预评估工作。每次巡检后需出具详细的《系统巡检报告》，内容应包括：</w:t>
                  </w:r>
                </w:p>
                <w:p>
                  <w:pPr>
                    <w:numPr>
                      <w:ilvl w:val="0"/>
                      <w:numId w:val="3"/>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i w:val="0"/>
                      <w:strike w:val="0"/>
                      <w:color w:val="000000"/>
                      <w:sz w:val="21"/>
                      <w:highlight w:val="none"/>
                      <w:u w:val="none"/>
                    </w:rPr>
                    <w:t>巡检时间、范围及人员。</w:t>
                  </w:r>
                </w:p>
                <w:p>
                  <w:pPr>
                    <w:numPr>
                      <w:ilvl w:val="0"/>
                      <w:numId w:val="3"/>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i w:val="0"/>
                      <w:strike w:val="0"/>
                      <w:color w:val="000000"/>
                      <w:sz w:val="21"/>
                      <w:highlight w:val="none"/>
                      <w:u w:val="none"/>
                    </w:rPr>
                    <w:t>硬件资源使用趋势分析及容量预测。</w:t>
                  </w:r>
                </w:p>
                <w:p>
                  <w:pPr>
                    <w:numPr>
                      <w:ilvl w:val="0"/>
                      <w:numId w:val="3"/>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i w:val="0"/>
                      <w:strike w:val="0"/>
                      <w:color w:val="000000"/>
                      <w:sz w:val="21"/>
                      <w:highlight w:val="none"/>
                      <w:u w:val="none"/>
                    </w:rPr>
                    <w:t>安全隐患或潜在风险排查记录。</w:t>
                  </w:r>
                </w:p>
                <w:p>
                  <w:pPr>
                    <w:numPr>
                      <w:ilvl w:val="0"/>
                      <w:numId w:val="3"/>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i w:val="0"/>
                      <w:strike w:val="0"/>
                      <w:color w:val="000000"/>
                      <w:sz w:val="21"/>
                      <w:highlight w:val="none"/>
                      <w:u w:val="none"/>
                    </w:rPr>
                    <w:t>现的问题、处理建议及后续优化计划。</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rPr>
                    <w:t>2. 报表开发、优化与数据支持</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报表性能优化</w:t>
                  </w:r>
                  <w:r>
                    <w:rPr>
                      <w:rFonts w:hint="eastAsia" w:ascii="宋体" w:hAnsi="宋体" w:eastAsia="宋体" w:cs="宋体"/>
                      <w:i w:val="0"/>
                      <w:strike w:val="0"/>
                      <w:color w:val="000000"/>
                      <w:sz w:val="21"/>
                      <w:highlight w:val="none"/>
                      <w:u w:val="none"/>
                    </w:rPr>
                    <w:t>：对现有业务报表（如统计分析表报、财务分析报表等）的运行效率进行监控和定期优化，包括优化SQL查询语句、调整数据汇总策略、建议或实施数据库表索引优化，以确保报表生成速度，提升用户体验。</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新报表定制开发：</w:t>
                  </w:r>
                  <w:r>
                    <w:rPr>
                      <w:rFonts w:hint="eastAsia" w:ascii="宋体" w:hAnsi="宋体" w:eastAsia="宋体" w:cs="宋体"/>
                      <w:i w:val="0"/>
                      <w:strike w:val="0"/>
                      <w:color w:val="000000"/>
                      <w:sz w:val="21"/>
                      <w:highlight w:val="none"/>
                      <w:u w:val="none"/>
                    </w:rPr>
                    <w:t>根据</w:t>
                  </w:r>
                  <w:r>
                    <w:rPr>
                      <w:rFonts w:hint="eastAsia" w:ascii="宋体" w:hAnsi="宋体" w:eastAsia="宋体" w:cs="宋体"/>
                      <w:i w:val="0"/>
                      <w:strike w:val="0"/>
                      <w:color w:val="000000"/>
                      <w:sz w:val="21"/>
                      <w:highlight w:val="none"/>
                      <w:u w:val="none"/>
                      <w:lang w:val="en-US" w:eastAsia="zh-CN"/>
                    </w:rPr>
                    <w:t>馆方</w:t>
                  </w:r>
                  <w:r>
                    <w:rPr>
                      <w:rFonts w:hint="eastAsia" w:ascii="宋体" w:hAnsi="宋体" w:eastAsia="宋体" w:cs="宋体"/>
                      <w:i w:val="0"/>
                      <w:strike w:val="0"/>
                      <w:color w:val="000000"/>
                      <w:sz w:val="21"/>
                      <w:highlight w:val="none"/>
                      <w:u w:val="none"/>
                    </w:rPr>
                    <w:t>业务部门的新需求，在现有系统框架和数据模型基础上，进行新报表的设计、开发、测试与部署上线，并提供相应的使用说明。</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rPr>
                    <w:t>3. 渠道对接运维支持</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接口监控与维护：</w:t>
                  </w:r>
                  <w:r>
                    <w:rPr>
                      <w:rFonts w:hint="eastAsia" w:ascii="宋体" w:hAnsi="宋体" w:eastAsia="宋体" w:cs="宋体"/>
                      <w:i w:val="0"/>
                      <w:strike w:val="0"/>
                      <w:color w:val="000000"/>
                      <w:sz w:val="21"/>
                      <w:highlight w:val="none"/>
                      <w:u w:val="none"/>
                    </w:rPr>
                    <w:t>基于现有票务系统的渠道管理对接功能，对与各</w:t>
                  </w:r>
                  <w:r>
                    <w:rPr>
                      <w:rFonts w:hint="eastAsia" w:ascii="宋体" w:hAnsi="宋体" w:eastAsia="宋体" w:cs="宋体"/>
                      <w:i w:val="0"/>
                      <w:strike w:val="0"/>
                      <w:color w:val="000000"/>
                      <w:sz w:val="21"/>
                      <w:highlight w:val="none"/>
                      <w:u w:val="none"/>
                      <w:lang w:val="en-US" w:eastAsia="zh-CN"/>
                    </w:rPr>
                    <w:t>渠道</w:t>
                  </w:r>
                  <w:r>
                    <w:rPr>
                      <w:rFonts w:hint="eastAsia" w:ascii="宋体" w:hAnsi="宋体" w:eastAsia="宋体" w:cs="宋体"/>
                      <w:i w:val="0"/>
                      <w:strike w:val="0"/>
                      <w:color w:val="000000"/>
                      <w:sz w:val="21"/>
                      <w:highlight w:val="none"/>
                      <w:u w:val="none"/>
                    </w:rPr>
                    <w:t>平台的数据接口（包括门票库存同步、订单下发、核验结果回传等）进行7×24小时监控，确保接口稳定、数据同步及时准确。</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问题协调处理：</w:t>
                  </w:r>
                  <w:r>
                    <w:rPr>
                      <w:rFonts w:hint="eastAsia" w:ascii="宋体" w:hAnsi="宋体" w:eastAsia="宋体" w:cs="宋体"/>
                      <w:i w:val="0"/>
                      <w:strike w:val="0"/>
                      <w:color w:val="000000"/>
                      <w:sz w:val="21"/>
                      <w:highlight w:val="none"/>
                      <w:u w:val="none"/>
                    </w:rPr>
                    <w:t>当出现</w:t>
                  </w:r>
                  <w:r>
                    <w:rPr>
                      <w:rFonts w:hint="eastAsia" w:ascii="宋体" w:hAnsi="宋体" w:eastAsia="宋体" w:cs="宋体"/>
                      <w:i w:val="0"/>
                      <w:strike w:val="0"/>
                      <w:color w:val="000000"/>
                      <w:sz w:val="21"/>
                      <w:highlight w:val="none"/>
                      <w:u w:val="none"/>
                      <w:lang w:val="en-US" w:eastAsia="zh-CN"/>
                    </w:rPr>
                    <w:t>渠道</w:t>
                  </w:r>
                  <w:r>
                    <w:rPr>
                      <w:rFonts w:hint="eastAsia" w:ascii="宋体" w:hAnsi="宋体" w:eastAsia="宋体" w:cs="宋体"/>
                      <w:i w:val="0"/>
                      <w:strike w:val="0"/>
                      <w:color w:val="000000"/>
                      <w:sz w:val="21"/>
                      <w:highlight w:val="none"/>
                      <w:u w:val="none"/>
                    </w:rPr>
                    <w:t>订单异常、库存同步失败、核销数据异常等问题时，负责第一时间排查定位（区分是云端系统问题、网络问题还是</w:t>
                  </w:r>
                  <w:r>
                    <w:rPr>
                      <w:rFonts w:hint="eastAsia" w:ascii="宋体" w:hAnsi="宋体" w:eastAsia="宋体" w:cs="宋体"/>
                      <w:i w:val="0"/>
                      <w:strike w:val="0"/>
                      <w:color w:val="000000"/>
                      <w:sz w:val="21"/>
                      <w:highlight w:val="none"/>
                      <w:u w:val="none"/>
                      <w:lang w:val="en-US" w:eastAsia="zh-CN"/>
                    </w:rPr>
                    <w:t>渠道</w:t>
                  </w:r>
                  <w:r>
                    <w:rPr>
                      <w:rFonts w:hint="eastAsia" w:ascii="宋体" w:hAnsi="宋体" w:eastAsia="宋体" w:cs="宋体"/>
                      <w:i w:val="0"/>
                      <w:strike w:val="0"/>
                      <w:color w:val="000000"/>
                      <w:sz w:val="21"/>
                      <w:highlight w:val="none"/>
                      <w:u w:val="none"/>
                    </w:rPr>
                    <w:t>平台方问题），并协同</w:t>
                  </w:r>
                  <w:r>
                    <w:rPr>
                      <w:rFonts w:hint="eastAsia" w:ascii="宋体" w:hAnsi="宋体" w:eastAsia="宋体" w:cs="宋体"/>
                      <w:i w:val="0"/>
                      <w:strike w:val="0"/>
                      <w:color w:val="000000"/>
                      <w:sz w:val="21"/>
                      <w:highlight w:val="none"/>
                      <w:u w:val="none"/>
                      <w:lang w:val="en-US" w:eastAsia="zh-CN"/>
                    </w:rPr>
                    <w:t>渠道</w:t>
                  </w:r>
                  <w:r>
                    <w:rPr>
                      <w:rFonts w:hint="eastAsia" w:ascii="宋体" w:hAnsi="宋体" w:eastAsia="宋体" w:cs="宋体"/>
                      <w:i w:val="0"/>
                      <w:strike w:val="0"/>
                      <w:color w:val="000000"/>
                      <w:sz w:val="21"/>
                      <w:highlight w:val="none"/>
                      <w:u w:val="none"/>
                    </w:rPr>
                    <w:t>平台技术人员或内部网络运维人员快速解决，保障售票渠道畅通。</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渠道对接开发服务：</w:t>
                  </w:r>
                  <w:r>
                    <w:rPr>
                      <w:rFonts w:hint="eastAsia" w:ascii="宋体" w:hAnsi="宋体" w:eastAsia="宋体" w:cs="宋体"/>
                      <w:i w:val="0"/>
                      <w:strike w:val="0"/>
                      <w:color w:val="000000"/>
                      <w:sz w:val="21"/>
                      <w:highlight w:val="none"/>
                      <w:u w:val="none"/>
                    </w:rPr>
                    <w:t>在现有渠道管理软件接口规范内，完成新增不超过3个平台的对接开发与调试工作。若对接需调整现有接口或功能，乙方免费提供的开发工作量不超过60人天；超出此范围的部分，按双方协商确定的人天单价另行计费。若超出60人天免费工作量，中选人需提前提交《工作量评估报告》及《变更报价单》，经业主方书面确认后方可实施。未获确认的额外开发工作，业主方不予支付费用。</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rPr>
                    <w:t>4. 变更管理与发布支持</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变更实施：</w:t>
                  </w:r>
                  <w:r>
                    <w:rPr>
                      <w:rFonts w:hint="eastAsia" w:ascii="宋体" w:hAnsi="宋体" w:eastAsia="宋体" w:cs="宋体"/>
                      <w:i w:val="0"/>
                      <w:strike w:val="0"/>
                      <w:color w:val="000000"/>
                      <w:sz w:val="21"/>
                      <w:highlight w:val="none"/>
                      <w:u w:val="none"/>
                    </w:rPr>
                    <w:t>负责票务应用程序版本、配置文件、业务参数（如票价、开放时间、票种库存）的计划内变更的实施、验证与回滚操作，确保变更过程受控、风险最低。</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发布部署：</w:t>
                  </w:r>
                  <w:r>
                    <w:rPr>
                      <w:rFonts w:hint="eastAsia" w:ascii="宋体" w:hAnsi="宋体" w:eastAsia="宋体" w:cs="宋体"/>
                      <w:i w:val="0"/>
                      <w:strike w:val="0"/>
                      <w:color w:val="000000"/>
                      <w:sz w:val="21"/>
                      <w:highlight w:val="none"/>
                      <w:u w:val="none"/>
                    </w:rPr>
                    <w:t>在云环境中，执行应用系统的灰度发布、全量部署等工作，确保发布过程平滑，业务影响最小。</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rPr>
                    <w:t>5. 事件与问题管理</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故障应急响应：</w:t>
                  </w:r>
                  <w:r>
                    <w:rPr>
                      <w:rFonts w:hint="eastAsia" w:ascii="宋体" w:hAnsi="宋体" w:eastAsia="宋体" w:cs="宋体"/>
                      <w:i w:val="0"/>
                      <w:strike w:val="0"/>
                      <w:color w:val="000000"/>
                      <w:sz w:val="21"/>
                      <w:highlight w:val="none"/>
                      <w:u w:val="none"/>
                    </w:rPr>
                    <w:t>当发生软件系统故障、功能异常</w:t>
                  </w:r>
                  <w:r>
                    <w:rPr>
                      <w:rFonts w:hint="eastAsia" w:ascii="宋体" w:hAnsi="宋体" w:eastAsia="宋体" w:cs="宋体"/>
                      <w:i w:val="0"/>
                      <w:strike w:val="0"/>
                      <w:color w:val="000000"/>
                      <w:sz w:val="21"/>
                      <w:highlight w:val="none"/>
                      <w:u w:val="none"/>
                      <w:lang w:eastAsia="zh-CN"/>
                    </w:rPr>
                    <w:t>、</w:t>
                  </w:r>
                  <w:r>
                    <w:rPr>
                      <w:rFonts w:hint="eastAsia" w:ascii="宋体" w:hAnsi="宋体" w:eastAsia="宋体" w:cs="宋体"/>
                      <w:i w:val="0"/>
                      <w:strike w:val="0"/>
                      <w:color w:val="000000"/>
                      <w:sz w:val="21"/>
                      <w:highlight w:val="none"/>
                      <w:u w:val="none"/>
                    </w:rPr>
                    <w:t>性能问题</w:t>
                  </w:r>
                  <w:r>
                    <w:rPr>
                      <w:rFonts w:hint="eastAsia" w:ascii="宋体" w:hAnsi="宋体" w:eastAsia="宋体" w:cs="宋体"/>
                      <w:i w:val="0"/>
                      <w:strike w:val="0"/>
                      <w:color w:val="000000"/>
                      <w:sz w:val="21"/>
                      <w:highlight w:val="none"/>
                      <w:u w:val="none"/>
                      <w:lang w:val="en-US" w:eastAsia="zh-CN"/>
                    </w:rPr>
                    <w:t>或订单异常</w:t>
                  </w:r>
                  <w:r>
                    <w:rPr>
                      <w:rFonts w:hint="eastAsia" w:ascii="宋体" w:hAnsi="宋体" w:eastAsia="宋体" w:cs="宋体"/>
                      <w:i w:val="0"/>
                      <w:strike w:val="0"/>
                      <w:color w:val="000000"/>
                      <w:sz w:val="21"/>
                      <w:highlight w:val="none"/>
                      <w:u w:val="none"/>
                    </w:rPr>
                    <w:t>时，按既定预案进行应急响应，快速恢复业务。进行根源分析（RCA），形成故障报告，并落实改进措施以防止复发。</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问题跟踪解决：</w:t>
                  </w:r>
                  <w:r>
                    <w:rPr>
                      <w:rFonts w:hint="eastAsia" w:ascii="宋体" w:hAnsi="宋体" w:eastAsia="宋体" w:cs="宋体"/>
                      <w:i w:val="0"/>
                      <w:strike w:val="0"/>
                      <w:color w:val="000000"/>
                      <w:sz w:val="21"/>
                      <w:highlight w:val="none"/>
                      <w:u w:val="none"/>
                    </w:rPr>
                    <w:t>对日常巡检、监控告警及用户反馈的软件相关问题进行记录、分类、诊断和跟踪解决，形成知识库积累。</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lang w:val="en-US" w:eastAsia="zh-CN"/>
                    </w:rPr>
                    <w:t>6</w:t>
                  </w:r>
                  <w:r>
                    <w:rPr>
                      <w:rFonts w:hint="eastAsia" w:ascii="宋体" w:hAnsi="宋体" w:eastAsia="宋体" w:cs="宋体"/>
                      <w:b/>
                      <w:bCs/>
                      <w:i w:val="0"/>
                      <w:strike w:val="0"/>
                      <w:color w:val="000000"/>
                      <w:sz w:val="21"/>
                      <w:highlight w:val="none"/>
                      <w:u w:val="none"/>
                    </w:rPr>
                    <w:t>. 文档维护与知识转移</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运维文档更新：</w:t>
                  </w:r>
                  <w:r>
                    <w:rPr>
                      <w:rFonts w:hint="eastAsia" w:ascii="宋体" w:hAnsi="宋体" w:eastAsia="宋体" w:cs="宋体"/>
                      <w:i w:val="0"/>
                      <w:strike w:val="0"/>
                      <w:color w:val="000000"/>
                      <w:sz w:val="21"/>
                      <w:highlight w:val="none"/>
                      <w:u w:val="none"/>
                    </w:rPr>
                    <w:t>维护和更新与票务系统软件相关的运维手册、部署文档、故障处理手册等。</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知识转移：</w:t>
                  </w:r>
                  <w:r>
                    <w:rPr>
                      <w:rFonts w:hint="eastAsia" w:ascii="宋体" w:hAnsi="宋体" w:eastAsia="宋体" w:cs="宋体"/>
                      <w:i w:val="0"/>
                      <w:strike w:val="0"/>
                      <w:color w:val="000000"/>
                      <w:sz w:val="21"/>
                      <w:highlight w:val="none"/>
                      <w:u w:val="none"/>
                    </w:rPr>
                    <w:t>定期向</w:t>
                  </w:r>
                  <w:r>
                    <w:rPr>
                      <w:rFonts w:hint="eastAsia" w:ascii="宋体" w:hAnsi="宋体" w:eastAsia="宋体" w:cs="宋体"/>
                      <w:i w:val="0"/>
                      <w:strike w:val="0"/>
                      <w:color w:val="000000"/>
                      <w:sz w:val="21"/>
                      <w:highlight w:val="none"/>
                      <w:u w:val="none"/>
                      <w:lang w:val="en-US" w:eastAsia="zh-CN"/>
                    </w:rPr>
                    <w:t>馆方</w:t>
                  </w:r>
                  <w:r>
                    <w:rPr>
                      <w:rFonts w:hint="eastAsia" w:ascii="宋体" w:hAnsi="宋体" w:eastAsia="宋体" w:cs="宋体"/>
                      <w:i w:val="0"/>
                      <w:strike w:val="0"/>
                      <w:color w:val="000000"/>
                      <w:sz w:val="21"/>
                      <w:highlight w:val="none"/>
                      <w:u w:val="none"/>
                    </w:rPr>
                    <w:t>相关技术人员进行系统架构、常见问题处理等方面的知识传递。</w:t>
                  </w:r>
                </w:p>
                <w:p>
                  <w:pPr>
                    <w:numPr>
                      <w:ilvl w:val="0"/>
                      <w:numId w:val="2"/>
                    </w:numPr>
                    <w:snapToGrid/>
                    <w:spacing w:line="240" w:lineRule="auto"/>
                    <w:ind w:left="420" w:leftChars="0" w:hanging="420" w:firstLineChars="0"/>
                    <w:rPr>
                      <w:rFonts w:hint="eastAsia" w:ascii="宋体" w:hAnsi="宋体" w:eastAsia="宋体" w:cs="宋体"/>
                      <w:i w:val="0"/>
                      <w:strike w:val="0"/>
                      <w:color w:val="000000"/>
                      <w:sz w:val="21"/>
                      <w:highlight w:val="none"/>
                      <w:u w:val="none"/>
                    </w:rPr>
                  </w:pPr>
                  <w:r>
                    <w:rPr>
                      <w:rFonts w:hint="eastAsia" w:ascii="宋体" w:hAnsi="宋体" w:eastAsia="宋体" w:cs="宋体"/>
                      <w:i w:val="0"/>
                      <w:strike w:val="0"/>
                      <w:color w:val="000000"/>
                      <w:sz w:val="21"/>
                      <w:highlight w:val="none"/>
                      <w:u w:val="none"/>
                    </w:rPr>
                    <w:t>为保障系统的可持续性与可移植性，需建立完整的知识库，定期向</w:t>
                  </w:r>
                  <w:r>
                    <w:rPr>
                      <w:rFonts w:hint="eastAsia" w:ascii="宋体" w:hAnsi="宋体" w:eastAsia="宋体" w:cs="宋体"/>
                      <w:i w:val="0"/>
                      <w:strike w:val="0"/>
                      <w:color w:val="000000"/>
                      <w:sz w:val="21"/>
                      <w:highlight w:val="none"/>
                      <w:u w:val="none"/>
                      <w:lang w:val="en-US" w:eastAsia="zh-CN"/>
                    </w:rPr>
                    <w:t>馆</w:t>
                  </w:r>
                  <w:r>
                    <w:rPr>
                      <w:rFonts w:hint="eastAsia" w:ascii="宋体" w:hAnsi="宋体" w:eastAsia="宋体" w:cs="宋体"/>
                      <w:i w:val="0"/>
                      <w:strike w:val="0"/>
                      <w:color w:val="000000"/>
                      <w:sz w:val="21"/>
                      <w:highlight w:val="none"/>
                      <w:u w:val="none"/>
                    </w:rPr>
                    <w:t>方移交最新的系统架构图、资源配置表、安全策略表及故障处理案例库。在服务期满或合同终止前3个月，需无偿提供完整的数据导出与迁移协助服务，确保业主方能平滑迁移至新平台或新服务商。</w:t>
                  </w:r>
                </w:p>
                <w:p>
                  <w:pPr>
                    <w:snapToGrid/>
                    <w:spacing w:line="240" w:lineRule="auto"/>
                    <w:ind w:left="0"/>
                    <w:rPr>
                      <w:rFonts w:hint="eastAsia" w:ascii="宋体" w:hAnsi="宋体" w:eastAsia="宋体" w:cs="宋体"/>
                      <w:b/>
                      <w:bCs/>
                      <w:i w:val="0"/>
                      <w:strike w:val="0"/>
                      <w:color w:val="000000"/>
                      <w:sz w:val="21"/>
                      <w:highlight w:val="none"/>
                      <w:u w:val="none"/>
                    </w:rPr>
                  </w:pPr>
                  <w:r>
                    <w:rPr>
                      <w:rFonts w:hint="eastAsia" w:ascii="宋体" w:hAnsi="宋体" w:eastAsia="宋体" w:cs="宋体"/>
                      <w:b/>
                      <w:bCs/>
                      <w:i w:val="0"/>
                      <w:strike w:val="0"/>
                      <w:color w:val="000000"/>
                      <w:sz w:val="21"/>
                      <w:highlight w:val="none"/>
                      <w:u w:val="none"/>
                      <w:lang w:val="en-US" w:eastAsia="zh-CN"/>
                    </w:rPr>
                    <w:t>7</w:t>
                  </w:r>
                  <w:r>
                    <w:rPr>
                      <w:rFonts w:hint="eastAsia" w:ascii="宋体" w:hAnsi="宋体" w:eastAsia="宋体" w:cs="宋体"/>
                      <w:b/>
                      <w:bCs/>
                      <w:i w:val="0"/>
                      <w:strike w:val="0"/>
                      <w:color w:val="000000"/>
                      <w:sz w:val="21"/>
                      <w:highlight w:val="none"/>
                      <w:u w:val="none"/>
                    </w:rPr>
                    <w:t>. 应急演练支持</w:t>
                  </w:r>
                </w:p>
                <w:p>
                  <w:pPr>
                    <w:numPr>
                      <w:ilvl w:val="0"/>
                      <w:numId w:val="2"/>
                    </w:numPr>
                    <w:snapToGrid/>
                    <w:spacing w:line="240" w:lineRule="auto"/>
                    <w:ind w:left="420" w:leftChars="0" w:hanging="420" w:firstLineChars="0"/>
                    <w:rPr>
                      <w:rFonts w:ascii="宋体" w:hAnsi="宋体" w:eastAsia="宋体" w:cs="宋体"/>
                      <w:i w:val="0"/>
                      <w:strike w:val="0"/>
                      <w:color w:val="000000"/>
                      <w:sz w:val="21"/>
                      <w:highlight w:val="none"/>
                      <w:u w:val="none"/>
                    </w:rPr>
                  </w:pPr>
                  <w:r>
                    <w:rPr>
                      <w:rFonts w:hint="eastAsia" w:ascii="宋体" w:hAnsi="宋体" w:eastAsia="宋体" w:cs="宋体"/>
                      <w:b/>
                      <w:bCs/>
                      <w:i w:val="0"/>
                      <w:strike w:val="0"/>
                      <w:color w:val="000000"/>
                      <w:sz w:val="21"/>
                      <w:highlight w:val="none"/>
                      <w:u w:val="none"/>
                    </w:rPr>
                    <w:t>参与演练：</w:t>
                  </w:r>
                  <w:r>
                    <w:rPr>
                      <w:rFonts w:hint="eastAsia" w:ascii="宋体" w:hAnsi="宋体" w:eastAsia="宋体" w:cs="宋体"/>
                      <w:i w:val="0"/>
                      <w:strike w:val="0"/>
                      <w:color w:val="000000"/>
                      <w:sz w:val="21"/>
                      <w:highlight w:val="none"/>
                      <w:u w:val="none"/>
                    </w:rPr>
                    <w:t>定期参与业务连续性及灾难恢复演练，负责软件层面的切换、回切流程操作与验证，确保在真实故障时能快速有效执行恢复流程。</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Ex>
              <w:trPr>
                <w:trHeight w:val="510" w:hRule="atLeast"/>
                <w:jc w:val="center"/>
              </w:trPr>
              <w:tc>
                <w:tcPr>
                  <w:tcW w:w="1035" w:type="dxa"/>
                  <w:vMerge w:val="continue"/>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spacing w:line="240" w:lineRule="auto"/>
                    <w:rPr>
                      <w:rFonts w:ascii="宋体" w:hAnsi="宋体" w:eastAsia="宋体" w:cs="宋体"/>
                      <w:color w:val="000000"/>
                      <w:sz w:val="21"/>
                      <w:highlight w:val="none"/>
                    </w:rPr>
                  </w:pPr>
                </w:p>
              </w:tc>
              <w:tc>
                <w:tcPr>
                  <w:tcW w:w="141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hint="eastAsia" w:ascii="宋体" w:hAnsi="宋体" w:eastAsia="宋体" w:cs="宋体"/>
                      <w:i w:val="0"/>
                      <w:strike w:val="0"/>
                      <w:color w:val="000000"/>
                      <w:spacing w:val="0"/>
                      <w:sz w:val="21"/>
                      <w:highlight w:val="none"/>
                      <w:u w:val="none"/>
                    </w:rPr>
                    <w:t>安全运维</w:t>
                  </w:r>
                  <w:r>
                    <w:rPr>
                      <w:rFonts w:ascii="宋体" w:hAnsi="宋体" w:eastAsia="宋体" w:cs="宋体"/>
                      <w:i w:val="0"/>
                      <w:strike w:val="0"/>
                      <w:color w:val="000000"/>
                      <w:spacing w:val="0"/>
                      <w:sz w:val="21"/>
                      <w:highlight w:val="none"/>
                      <w:u w:val="none"/>
                    </w:rPr>
                    <w:t>服务</w:t>
                  </w:r>
                </w:p>
              </w:tc>
              <w:tc>
                <w:tcPr>
                  <w:tcW w:w="4785"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rPr>
                    <w:t>围绕《中华人民共和国网络安全法》、《信息安全技术 网络安全等级保护基本要求》（GB/T 22239-2019）及《网络安全技术 网络安全运维实施指南》（GB/T 45940-2025）等标准要求，建立主动、智能、闭环的持续安全运营体系，保障云票务系统的安全性、合规性与抗攻击能力。具体服务要求如下：</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安全防护运营</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策略全生命周期管理：负责云防火墙（WAF）、云安全中心、主机安全等所有云上安全产品的策略配置、优化与调优。根据业务变化和威胁态势，每月至少进行一次策略评审与更新，确保防护规则的有效性与精准性，降低误报与漏报。</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漏洞闭环管理：每月至少执行一次全面的自动化漏洞扫描，覆盖服务器操作系统、中间件、数据库及应用组件。扫描后需进行人工验证，排除误报，并对确认的漏洞进行风险评级。运维方需协助并督促相关责任方在5个工作日内完成高危漏洞的修复，并进行复测验证，形成“扫描-验证-修复-复测”的闭环管理。</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交付物：每月提供一份详细的《月度漏洞扫描与修复报告》，内容需包含：漏洞清单、修复建议及修复验证结果。</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安全监控与分析（SOC）</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7x24小时全天候监控：建立统一的安全监控中心，对网络流量、系统日志、应用日志、安全设备告警等数据进行集中采集、关联分析与实时监控，确保安全威胁能被及时发现。</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威胁狩猎与告警处置：不仅限于被动告警，需主动进行威胁狩猎，利用威胁情报识别高级持续性威胁（APT）等复杂攻击。对所有告警进行研判、分级与处置，确保有效告警的响应时间不超过30分钟。</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交付物：每月提供一份《月度安全运营分析报告》，内容需包含：安全事件统计与趋势分析、主要攻击类型与来源、告警处置情况。</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合规与审计管理</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等保合规基线核查：每季度至少进行一次安全配置基线核查，确保云资源、操作系统、数据库等的安全配置持续符合等保三级要求。对于发现的配置偏差，需出具整改方案并协助完成加固。</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日志审计与行为分析：统一管理并审计所有系统账号、数据库账号、运维账号的权限与操作日志。定期（每月）对特权账号的操作行为进行审计分析，及时发现并报告异常访问与违规操作。</w:t>
                  </w:r>
                </w:p>
                <w:p>
                  <w:pPr>
                    <w:pStyle w:val="6"/>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等保测评支持：</w:t>
                  </w:r>
                  <w:r>
                    <w:rPr>
                      <w:rFonts w:hint="eastAsia" w:ascii="宋体" w:hAnsi="宋体" w:eastAsia="宋体" w:cs="宋体"/>
                      <w:color w:val="000000"/>
                      <w:kern w:val="2"/>
                      <w:sz w:val="21"/>
                      <w:szCs w:val="24"/>
                      <w:highlight w:val="none"/>
                      <w:lang w:val="en-US" w:eastAsia="zh-CN" w:bidi="ar-SA"/>
                    </w:rPr>
                    <w:t>全程协助馆方开展年度网络安全等级保护测评工作，协助准备测评材料、配合现场测评，针对测评不符合项协助制定并指导落实整改方案，助力馆方顺利通过测评并完成备案。</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4.</w:t>
                  </w:r>
                  <w:r>
                    <w:rPr>
                      <w:rFonts w:hint="eastAsia" w:ascii="宋体" w:hAnsi="宋体" w:eastAsia="宋体" w:cs="宋体"/>
                      <w:color w:val="000000"/>
                      <w:sz w:val="21"/>
                      <w:highlight w:val="none"/>
                    </w:rPr>
                    <w:t>应急响应</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预案与演练：制定并维护针对黑客入侵、数据泄露、DDoS攻击、勒索病毒等典型安全事件的专项应急预案。每半年至少组织一次实战化的应急演练，并根据演练结果优化预案。</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7x24小时应急响应：在发生安全事件时，立即启动应急预案，提供7x24小时的应急响应服务。服务内容包括：攻击阻断、影响范围评估、系统恢复、溯源分析、证据留存与固化。</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交付物：在安全事件处置完毕后3个工作日内，提供一份详细的《安全事件分析报告》，内容需包含：事件原因、攻击路径、影响范围、处置过程、损失评估及后续加固建议。</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5.</w:t>
                  </w:r>
                  <w:r>
                    <w:rPr>
                      <w:rFonts w:hint="eastAsia" w:ascii="宋体" w:hAnsi="宋体" w:eastAsia="宋体" w:cs="宋体"/>
                      <w:color w:val="000000"/>
                      <w:sz w:val="21"/>
                      <w:highlight w:val="none"/>
                    </w:rPr>
                    <w:t>安全加固与培训</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持续安全加固：根据最新的威胁情报、安全漏洞信息（如CNVD、CNNVD）和行业安全最佳实践，定期对系统（包括操作系统、中间件、应用）进行安全加固，如补丁更新、权限收紧、服务端口优化等。</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安全意识与技能培训：每年至少提供2次专项安全培训。培训内容需定制化，包括：面向全体业务人员的网络安全意识培训，以及面向运维人员的专业技能培训。</w:t>
                  </w:r>
                </w:p>
                <w:p>
                  <w:pPr>
                    <w:numPr>
                      <w:ilvl w:val="0"/>
                      <w:numId w:val="0"/>
                    </w:numPr>
                    <w:pBdr>
                      <w:bottom w:val="none" w:color="auto" w:sz="0" w:space="0"/>
                    </w:pBdr>
                    <w:snapToGrid/>
                    <w:spacing w:line="240" w:lineRule="auto"/>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6.数据备份与恢复</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w:t>
                  </w:r>
                  <w:r>
                    <w:rPr>
                      <w:rFonts w:hint="default" w:ascii="宋体" w:hAnsi="宋体" w:eastAsia="宋体" w:cs="宋体"/>
                      <w:color w:val="000000"/>
                      <w:sz w:val="21"/>
                      <w:highlight w:val="none"/>
                      <w:lang w:val="en-US" w:eastAsia="zh-CN"/>
                    </w:rPr>
                    <w:t>多层次备份策略实施</w:t>
                  </w:r>
                  <w:r>
                    <w:rPr>
                      <w:rFonts w:hint="eastAsia" w:ascii="宋体" w:hAnsi="宋体" w:eastAsia="宋体" w:cs="宋体"/>
                      <w:color w:val="000000"/>
                      <w:sz w:val="21"/>
                      <w:highlight w:val="none"/>
                      <w:lang w:val="en-US" w:eastAsia="zh-CN"/>
                    </w:rPr>
                    <w:t>：</w:t>
                  </w:r>
                  <w:r>
                    <w:rPr>
                      <w:rFonts w:hint="default" w:ascii="宋体" w:hAnsi="宋体" w:eastAsia="宋体" w:cs="宋体"/>
                      <w:color w:val="000000"/>
                      <w:sz w:val="21"/>
                      <w:highlight w:val="none"/>
                      <w:lang w:val="en-US" w:eastAsia="zh-CN"/>
                    </w:rPr>
                    <w:t>构建覆盖计算与数据层的全方位备份体系，确保数据的高可用性。</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w:t>
                  </w:r>
                  <w:r>
                    <w:rPr>
                      <w:rFonts w:hint="default" w:ascii="宋体" w:hAnsi="宋体" w:eastAsia="宋体" w:cs="宋体"/>
                      <w:color w:val="000000"/>
                      <w:sz w:val="21"/>
                      <w:highlight w:val="none"/>
                      <w:lang w:val="en-US" w:eastAsia="zh-CN"/>
                    </w:rPr>
                    <w:t>ECS备份：配置云服务器（ECS）的本地快照策略，实现系统盘与数据盘的每日凌晨自动备份，用于应对误操作或系统故障；同时，启用跨地域复制功能，将关键快照每周同步复制至异地存储，实现异地备份，满足等保三级对关键数据异地存储的要求。</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w:t>
                  </w:r>
                  <w:r>
                    <w:rPr>
                      <w:rFonts w:hint="default" w:ascii="宋体" w:hAnsi="宋体" w:eastAsia="宋体" w:cs="宋体"/>
                      <w:color w:val="000000"/>
                      <w:sz w:val="21"/>
                      <w:highlight w:val="none"/>
                      <w:lang w:val="en-US" w:eastAsia="zh-CN"/>
                    </w:rPr>
                    <w:t>RDS与异地</w:t>
                  </w:r>
                  <w:r>
                    <w:rPr>
                      <w:rFonts w:hint="eastAsia" w:ascii="宋体" w:hAnsi="宋体" w:eastAsia="宋体" w:cs="宋体"/>
                      <w:color w:val="000000"/>
                      <w:sz w:val="21"/>
                      <w:highlight w:val="none"/>
                      <w:lang w:val="en-US" w:eastAsia="zh-CN"/>
                    </w:rPr>
                    <w:t>备份</w:t>
                  </w:r>
                  <w:r>
                    <w:rPr>
                      <w:rFonts w:hint="default" w:ascii="宋体" w:hAnsi="宋体" w:eastAsia="宋体" w:cs="宋体"/>
                      <w:color w:val="000000"/>
                      <w:sz w:val="21"/>
                      <w:highlight w:val="none"/>
                      <w:lang w:val="en-US" w:eastAsia="zh-CN"/>
                    </w:rPr>
                    <w:t>：确保云数据库（RDS）开启高可用版，实现同城内的实时冗余；利用数据传输服务（DTS），建立从生产区域到RDS实例的实时数据同步链路，确保异地备份数据的实时性与一致性，保障极端灾难场景下的数据完整性。</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w:t>
                  </w:r>
                  <w:r>
                    <w:rPr>
                      <w:rFonts w:hint="default" w:ascii="宋体" w:hAnsi="宋体" w:eastAsia="宋体" w:cs="宋体"/>
                      <w:color w:val="000000"/>
                      <w:sz w:val="21"/>
                      <w:highlight w:val="none"/>
                      <w:lang w:val="en-US" w:eastAsia="zh-CN"/>
                    </w:rPr>
                    <w:t>备份频次与生命周期管理</w:t>
                  </w:r>
                  <w:r>
                    <w:rPr>
                      <w:rFonts w:hint="eastAsia" w:ascii="宋体" w:hAnsi="宋体" w:eastAsia="宋体" w:cs="宋体"/>
                      <w:color w:val="000000"/>
                      <w:sz w:val="21"/>
                      <w:highlight w:val="none"/>
                      <w:lang w:val="en-US" w:eastAsia="zh-CN"/>
                    </w:rPr>
                    <w:t>：</w:t>
                  </w:r>
                  <w:r>
                    <w:rPr>
                      <w:rFonts w:hint="default" w:ascii="宋体" w:hAnsi="宋体" w:eastAsia="宋体" w:cs="宋体"/>
                      <w:color w:val="000000"/>
                      <w:sz w:val="21"/>
                      <w:highlight w:val="none"/>
                      <w:lang w:val="en-US" w:eastAsia="zh-CN"/>
                    </w:rPr>
                    <w:t>严格遵循等保三级关于数据完整性与保密性的要求，设定精细化的备份窗口与保留周期。</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w:t>
                  </w:r>
                  <w:r>
                    <w:rPr>
                      <w:rFonts w:hint="default" w:ascii="宋体" w:hAnsi="宋体" w:eastAsia="宋体" w:cs="宋体"/>
                      <w:color w:val="000000"/>
                      <w:sz w:val="21"/>
                      <w:highlight w:val="none"/>
                      <w:lang w:val="en-US" w:eastAsia="zh-CN"/>
                    </w:rPr>
                    <w:t>备份频次：</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w:t>
                  </w:r>
                  <w:r>
                    <w:rPr>
                      <w:rFonts w:hint="default" w:ascii="宋体" w:hAnsi="宋体" w:eastAsia="宋体" w:cs="宋体"/>
                      <w:color w:val="000000"/>
                      <w:sz w:val="21"/>
                      <w:highlight w:val="none"/>
                      <w:lang w:val="en-US" w:eastAsia="zh-CN"/>
                    </w:rPr>
                    <w:t>数据库（RDS）：开启每日全量备份（设置在业务低峰期），并开启增量日志备份（每5-10分钟一次），以支持按时间点恢复（PITR）。</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w:t>
                  </w:r>
                  <w:r>
                    <w:rPr>
                      <w:rFonts w:hint="default" w:ascii="宋体" w:hAnsi="宋体" w:eastAsia="宋体" w:cs="宋体"/>
                      <w:color w:val="000000"/>
                      <w:sz w:val="21"/>
                      <w:highlight w:val="none"/>
                      <w:lang w:val="en-US" w:eastAsia="zh-CN"/>
                    </w:rPr>
                    <w:t>云服务器（ECS）：核心应用服务器快照策略设置为每日一次，重要数据盘可设置为每6-12小时一次。</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w:t>
                  </w:r>
                  <w:r>
                    <w:rPr>
                      <w:rFonts w:hint="default" w:ascii="宋体" w:hAnsi="宋体" w:eastAsia="宋体" w:cs="宋体"/>
                      <w:color w:val="000000"/>
                      <w:sz w:val="21"/>
                      <w:highlight w:val="none"/>
                      <w:lang w:val="en-US" w:eastAsia="zh-CN"/>
                    </w:rPr>
                    <w:t>保留周期：</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w:t>
                  </w:r>
                  <w:r>
                    <w:rPr>
                      <w:rFonts w:hint="default" w:ascii="宋体" w:hAnsi="宋体" w:eastAsia="宋体" w:cs="宋体"/>
                      <w:color w:val="000000"/>
                      <w:sz w:val="21"/>
                      <w:highlight w:val="none"/>
                      <w:lang w:val="en-US" w:eastAsia="zh-CN"/>
                    </w:rPr>
                    <w:t>本地备份：保留时间不少于30天。</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w:t>
                  </w:r>
                  <w:r>
                    <w:rPr>
                      <w:rFonts w:hint="default" w:ascii="宋体" w:hAnsi="宋体" w:eastAsia="宋体" w:cs="宋体"/>
                      <w:color w:val="000000"/>
                      <w:sz w:val="21"/>
                      <w:highlight w:val="none"/>
                      <w:lang w:val="en-US" w:eastAsia="zh-CN"/>
                    </w:rPr>
                    <w:t>异地备份：关键数据备份保留时间不少于6个月（符合网络安全法及等保审计要求）。</w:t>
                  </w:r>
                </w:p>
                <w:p>
                  <w:pPr>
                    <w:numPr>
                      <w:ilvl w:val="0"/>
                      <w:numId w:val="0"/>
                    </w:numPr>
                    <w:pBdr>
                      <w:bottom w:val="none" w:color="auto" w:sz="0" w:space="0"/>
                    </w:pBdr>
                    <w:snapToGrid/>
                    <w:spacing w:line="240" w:lineRule="auto"/>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（3）</w:t>
                  </w:r>
                  <w:r>
                    <w:rPr>
                      <w:rFonts w:hint="default" w:ascii="宋体" w:hAnsi="宋体" w:eastAsia="宋体" w:cs="宋体"/>
                      <w:color w:val="000000"/>
                      <w:sz w:val="21"/>
                      <w:highlight w:val="none"/>
                      <w:lang w:val="en-US" w:eastAsia="zh-CN"/>
                    </w:rPr>
                    <w:t>备份管理与恢复演练</w:t>
                  </w:r>
                  <w:r>
                    <w:rPr>
                      <w:rFonts w:hint="eastAsia" w:ascii="宋体" w:hAnsi="宋体" w:eastAsia="宋体" w:cs="宋体"/>
                      <w:color w:val="000000"/>
                      <w:sz w:val="21"/>
                      <w:highlight w:val="none"/>
                      <w:lang w:val="en-US" w:eastAsia="zh-CN"/>
                    </w:rPr>
                    <w:t>：</w:t>
                  </w:r>
                  <w:r>
                    <w:rPr>
                      <w:rFonts w:hint="default" w:ascii="宋体" w:hAnsi="宋体" w:eastAsia="宋体" w:cs="宋体"/>
                      <w:color w:val="000000"/>
                      <w:sz w:val="21"/>
                      <w:highlight w:val="none"/>
                      <w:lang w:val="en-US" w:eastAsia="zh-CN"/>
                    </w:rPr>
                    <w:t>制定严格的备份保留策略，定期（每</w:t>
                  </w:r>
                  <w:r>
                    <w:rPr>
                      <w:rFonts w:hint="eastAsia" w:ascii="宋体" w:hAnsi="宋体" w:eastAsia="宋体" w:cs="宋体"/>
                      <w:color w:val="000000"/>
                      <w:sz w:val="21"/>
                      <w:highlight w:val="none"/>
                      <w:lang w:val="en-US" w:eastAsia="zh-CN"/>
                    </w:rPr>
                    <w:t>半年</w:t>
                  </w:r>
                  <w:r>
                    <w:rPr>
                      <w:rFonts w:hint="default" w:ascii="宋体" w:hAnsi="宋体" w:eastAsia="宋体" w:cs="宋体"/>
                      <w:color w:val="000000"/>
                      <w:sz w:val="21"/>
                      <w:highlight w:val="none"/>
                      <w:lang w:val="en-US" w:eastAsia="zh-CN"/>
                    </w:rPr>
                    <w:t>至少一次）对备份数据进行完整性校验，并组织演练，验证ECS快照回滚及RDS异地数据的恢复时效性，确保在业务中断时能快速完成数据恢复。</w:t>
                  </w:r>
                </w:p>
              </w:tc>
              <w:tc>
                <w:tcPr>
                  <w:tcW w:w="1020" w:type="dxa"/>
                  <w:tcBorders>
                    <w:top w:val="single" w:color="000000" w:sz="0" w:space="0"/>
                    <w:left w:val="single" w:color="000000" w:sz="10" w:space="0"/>
                    <w:bottom w:val="single" w:color="000000" w:sz="10" w:space="0"/>
                    <w:right w:val="single" w:color="000000" w:sz="10" w:space="0"/>
                  </w:tcBorders>
                  <w:tcMar>
                    <w:top w:w="45" w:type="dxa"/>
                    <w:left w:w="96" w:type="dxa"/>
                    <w:bottom w:w="45" w:type="dxa"/>
                    <w:right w:w="96" w:type="dxa"/>
                  </w:tcMar>
                  <w:vAlign w:val="center"/>
                </w:tcPr>
                <w:p>
                  <w:pPr>
                    <w:snapToGrid w:val="0"/>
                    <w:spacing w:before="0" w:after="0" w:line="400" w:lineRule="exact"/>
                    <w:ind w:left="0" w:right="0" w:firstLine="0" w:firstLineChars="0"/>
                    <w:jc w:val="center"/>
                    <w:rPr>
                      <w:rFonts w:ascii="宋体" w:hAnsi="宋体" w:eastAsia="宋体" w:cs="宋体"/>
                      <w:color w:val="000000"/>
                      <w:sz w:val="21"/>
                      <w:highlight w:val="none"/>
                    </w:rPr>
                  </w:pPr>
                  <w:r>
                    <w:rPr>
                      <w:rFonts w:ascii="宋体" w:hAnsi="宋体" w:eastAsia="宋体" w:cs="宋体"/>
                      <w:i w:val="0"/>
                      <w:strike w:val="0"/>
                      <w:color w:val="000000"/>
                      <w:spacing w:val="0"/>
                      <w:sz w:val="21"/>
                      <w:highlight w:val="none"/>
                      <w:u w:val="none"/>
                    </w:rPr>
                    <w:t>1项</w:t>
                  </w:r>
                </w:p>
              </w:tc>
            </w:tr>
          </w:tbl>
          <w:p>
            <w:pPr>
              <w:snapToGrid/>
              <w:spacing w:line="240" w:lineRule="auto"/>
              <w:ind w:left="0" w:firstLine="643" w:firstLineChars="200"/>
              <w:rPr>
                <w:rFonts w:hint="eastAsia" w:ascii="方正仿宋_GBK" w:hAnsi="方正仿宋_GBK" w:eastAsia="方正仿宋_GBK" w:cs="方正仿宋_GBK"/>
                <w:b/>
                <w:i w:val="0"/>
                <w:strike w:val="0"/>
                <w:color w:val="000000"/>
                <w:sz w:val="32"/>
                <w:szCs w:val="32"/>
                <w:highlight w:val="none"/>
                <w:u w:val="none"/>
              </w:rPr>
            </w:pPr>
            <w:r>
              <w:rPr>
                <w:rFonts w:hint="eastAsia" w:ascii="方正仿宋_GBK" w:hAnsi="方正仿宋_GBK" w:eastAsia="方正仿宋_GBK" w:cs="方正仿宋_GBK"/>
                <w:b/>
                <w:i w:val="0"/>
                <w:strike w:val="0"/>
                <w:color w:val="000000"/>
                <w:sz w:val="32"/>
                <w:szCs w:val="32"/>
                <w:highlight w:val="none"/>
                <w:u w:val="none"/>
              </w:rPr>
              <w:t>（三）故障服务响应要求</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1.提供7×24小时技术支持服务，使系统能快速恢复正常运行，故障转移时间不大于10分钟（从故障发生开始，到系统完全恢复），并提供定期的灾难恢复演练报告，确保对业务的影响最小化。</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紧急故障应急处理的内容包括：</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1）无法实现数据实时同步；</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2）无法实现数据定期备份；</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3）硬件出现问题，导致数据库停机或业务重要功能无法运行；</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4）数据库软件本身出现问题，导致数据库停机或业务重要功能无法运行；</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5）由于其它原因，导致数据库停机或业务重要功能无法运行。</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2.非紧急问题需在2个工作日内解决，出具相关报告。</w:t>
            </w:r>
          </w:p>
          <w:p>
            <w:pPr>
              <w:snapToGrid/>
              <w:spacing w:line="240" w:lineRule="auto"/>
              <w:ind w:left="0" w:firstLineChars="200"/>
              <w:rPr>
                <w:rFonts w:hint="eastAsia" w:ascii="方正仿宋_GBK" w:hAnsi="方正仿宋_GBK" w:eastAsia="方正仿宋_GBK" w:cs="方正仿宋_GBK"/>
                <w:i w:val="0"/>
                <w:strike w:val="0"/>
                <w:color w:val="000000"/>
                <w:sz w:val="32"/>
                <w:szCs w:val="32"/>
                <w:highlight w:val="none"/>
                <w:u w:val="none"/>
                <w:lang w:val="en-US" w:eastAsia="zh-CN"/>
              </w:rPr>
            </w:pPr>
            <w:r>
              <w:rPr>
                <w:rFonts w:hint="eastAsia" w:ascii="方正仿宋_GBK" w:hAnsi="方正仿宋_GBK" w:eastAsia="方正仿宋_GBK" w:cs="方正仿宋_GBK"/>
                <w:i w:val="0"/>
                <w:strike w:val="0"/>
                <w:color w:val="000000"/>
                <w:sz w:val="32"/>
                <w:szCs w:val="32"/>
                <w:highlight w:val="none"/>
                <w:u w:val="none"/>
                <w:lang w:val="en-US" w:eastAsia="zh-CN"/>
              </w:rPr>
              <w:t>需每半年组织一次真实的演练，并在演练结束后5个工作日内提交《演练报告》，报告需包含演练场景、切换耗时、数据一致性校验结果及改进措施。业主方有权对RTO/RPO指标进行不定期抽检测试。</w:t>
            </w:r>
          </w:p>
          <w:p>
            <w:pPr>
              <w:snapToGrid/>
              <w:spacing w:before="0" w:after="0" w:line="600" w:lineRule="exact"/>
              <w:ind w:left="0" w:right="0" w:firstLine="643" w:firstLineChars="200"/>
              <w:jc w:val="both"/>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b/>
                <w:i w:val="0"/>
                <w:strike w:val="0"/>
                <w:color w:val="000000"/>
                <w:sz w:val="32"/>
                <w:szCs w:val="32"/>
                <w:highlight w:val="none"/>
                <w:u w:val="none"/>
              </w:rPr>
              <w:t>（四）项目实施要求</w:t>
            </w:r>
          </w:p>
          <w:p>
            <w:pPr>
              <w:snapToGrid/>
              <w:spacing w:before="0" w:after="0" w:line="600" w:lineRule="exact"/>
              <w:ind w:left="0" w:right="0" w:firstLine="640" w:firstLineChars="200"/>
              <w:jc w:val="left"/>
              <w:rPr>
                <w:rFonts w:hint="eastAsia" w:ascii="方正仿宋_GBK" w:hAnsi="方正仿宋_GBK" w:eastAsia="方正仿宋_GBK" w:cs="方正仿宋_GBK"/>
                <w:i w:val="0"/>
                <w:strike w:val="0"/>
                <w:color w:val="000000"/>
                <w:sz w:val="32"/>
                <w:szCs w:val="32"/>
                <w:highlight w:val="none"/>
                <w:u w:val="none"/>
              </w:rPr>
            </w:pPr>
            <w:r>
              <w:rPr>
                <w:rFonts w:hint="eastAsia" w:ascii="方正仿宋_GBK" w:hAnsi="方正仿宋_GBK" w:eastAsia="方正仿宋_GBK" w:cs="方正仿宋_GBK"/>
                <w:i w:val="0"/>
                <w:strike w:val="0"/>
                <w:color w:val="000000"/>
                <w:sz w:val="32"/>
                <w:szCs w:val="32"/>
                <w:highlight w:val="none"/>
                <w:u w:val="none"/>
              </w:rPr>
              <w:t>提供项目实施方案，包括①项目需求分析、②项目实施计划、③项目实施团队安排、④云端系统拓扑图、⑤云</w:t>
            </w:r>
            <w:r>
              <w:rPr>
                <w:rFonts w:hint="eastAsia" w:ascii="方正仿宋_GBK" w:hAnsi="方正仿宋_GBK" w:eastAsia="方正仿宋_GBK" w:cs="方正仿宋_GBK"/>
                <w:i w:val="0"/>
                <w:strike w:val="0"/>
                <w:color w:val="000000"/>
                <w:sz w:val="32"/>
                <w:szCs w:val="32"/>
                <w:highlight w:val="none"/>
                <w:u w:val="none"/>
                <w:lang w:val="en-US" w:eastAsia="zh-CN"/>
              </w:rPr>
              <w:t>端</w:t>
            </w:r>
            <w:r>
              <w:rPr>
                <w:rFonts w:hint="eastAsia" w:ascii="方正仿宋_GBK" w:hAnsi="方正仿宋_GBK" w:eastAsia="方正仿宋_GBK" w:cs="方正仿宋_GBK"/>
                <w:i w:val="0"/>
                <w:strike w:val="0"/>
                <w:color w:val="000000"/>
                <w:sz w:val="32"/>
                <w:szCs w:val="32"/>
                <w:highlight w:val="none"/>
                <w:u w:val="none"/>
              </w:rPr>
              <w:t>服务软件设计方案、⑥数据同步方案、⑦质量保证措施、⑧应急切换方案、⑨云</w:t>
            </w:r>
            <w:r>
              <w:rPr>
                <w:rFonts w:hint="eastAsia" w:ascii="方正仿宋_GBK" w:hAnsi="方正仿宋_GBK" w:eastAsia="方正仿宋_GBK" w:cs="方正仿宋_GBK"/>
                <w:i w:val="0"/>
                <w:strike w:val="0"/>
                <w:color w:val="000000"/>
                <w:sz w:val="32"/>
                <w:szCs w:val="32"/>
                <w:highlight w:val="none"/>
                <w:u w:val="none"/>
                <w:lang w:val="en-US" w:eastAsia="zh-CN"/>
              </w:rPr>
              <w:t>端系统</w:t>
            </w:r>
            <w:r>
              <w:rPr>
                <w:rFonts w:hint="eastAsia" w:ascii="方正仿宋_GBK" w:hAnsi="方正仿宋_GBK" w:eastAsia="方正仿宋_GBK" w:cs="方正仿宋_GBK"/>
                <w:i w:val="0"/>
                <w:strike w:val="0"/>
                <w:color w:val="000000"/>
                <w:sz w:val="32"/>
                <w:szCs w:val="32"/>
                <w:highlight w:val="none"/>
                <w:u w:val="none"/>
              </w:rPr>
              <w:t>日常运维方案</w:t>
            </w:r>
            <w:r>
              <w:rPr>
                <w:rFonts w:hint="eastAsia" w:ascii="方正仿宋_GBK" w:hAnsi="方正仿宋_GBK" w:eastAsia="方正仿宋_GBK" w:cs="方正仿宋_GBK"/>
                <w:i w:val="0"/>
                <w:strike w:val="0"/>
                <w:color w:val="000000"/>
                <w:sz w:val="32"/>
                <w:szCs w:val="32"/>
                <w:highlight w:val="none"/>
                <w:u w:val="none"/>
                <w:lang w:eastAsia="zh-CN"/>
              </w:rPr>
              <w:t>、</w:t>
            </w:r>
            <w:r>
              <w:rPr>
                <w:rFonts w:hint="eastAsia" w:ascii="方正仿宋_GBK" w:hAnsi="方正仿宋_GBK" w:eastAsia="方正仿宋_GBK" w:cs="方正仿宋_GBK"/>
                <w:i w:val="0"/>
                <w:strike w:val="0"/>
                <w:color w:val="000000"/>
                <w:sz w:val="32"/>
                <w:szCs w:val="32"/>
                <w:highlight w:val="none"/>
                <w:u w:val="none"/>
              </w:rPr>
              <w:t>⑩质量保证措施等内容。</w:t>
            </w:r>
          </w:p>
          <w:p>
            <w:pPr>
              <w:snapToGrid/>
              <w:spacing w:before="0" w:after="0" w:line="600" w:lineRule="exact"/>
              <w:ind w:left="0" w:right="0" w:firstLine="640" w:firstLineChars="200"/>
              <w:jc w:val="left"/>
              <w:rPr>
                <w:rFonts w:hint="eastAsia" w:ascii="方正仿宋_GBK" w:hAnsi="方正仿宋_GBK" w:eastAsia="方正仿宋_GBK" w:cs="方正仿宋_GBK"/>
                <w:i w:val="0"/>
                <w:strike w:val="0"/>
                <w:color w:val="000000"/>
                <w:sz w:val="32"/>
                <w:szCs w:val="32"/>
                <w:highlight w:val="none"/>
                <w:u w:val="none"/>
              </w:rPr>
            </w:pPr>
            <w:r>
              <w:rPr>
                <w:rFonts w:hint="eastAsia" w:ascii="方正仿宋_GBK" w:hAnsi="方正仿宋_GBK" w:eastAsia="方正仿宋_GBK" w:cs="方正仿宋_GBK"/>
                <w:i w:val="0"/>
                <w:strike w:val="0"/>
                <w:color w:val="000000"/>
                <w:sz w:val="32"/>
                <w:szCs w:val="32"/>
                <w:highlight w:val="none"/>
                <w:u w:val="none"/>
                <w:lang w:eastAsia="zh-CN"/>
              </w:rPr>
              <w:t>在</w:t>
            </w:r>
            <w:r>
              <w:rPr>
                <w:rFonts w:hint="eastAsia" w:ascii="方正仿宋_GBK" w:hAnsi="方正仿宋_GBK" w:eastAsia="方正仿宋_GBK" w:cs="方正仿宋_GBK"/>
                <w:i w:val="0"/>
                <w:strike w:val="0"/>
                <w:color w:val="000000"/>
                <w:sz w:val="32"/>
                <w:szCs w:val="32"/>
                <w:highlight w:val="none"/>
                <w:u w:val="none"/>
              </w:rPr>
              <w:t>‘⑥</w:t>
            </w:r>
            <w:r>
              <w:rPr>
                <w:rFonts w:hint="eastAsia" w:ascii="方正仿宋_GBK" w:hAnsi="方正仿宋_GBK" w:eastAsia="方正仿宋_GBK" w:cs="方正仿宋_GBK"/>
                <w:i w:val="0"/>
                <w:strike w:val="0"/>
                <w:color w:val="000000"/>
                <w:sz w:val="32"/>
                <w:szCs w:val="32"/>
                <w:highlight w:val="none"/>
                <w:u w:val="none"/>
                <w:lang w:val="en-US" w:eastAsia="zh-CN"/>
              </w:rPr>
              <w:t>项</w:t>
            </w:r>
            <w:r>
              <w:rPr>
                <w:rFonts w:hint="eastAsia" w:ascii="方正仿宋_GBK" w:hAnsi="方正仿宋_GBK" w:eastAsia="方正仿宋_GBK" w:cs="方正仿宋_GBK"/>
                <w:i w:val="0"/>
                <w:strike w:val="0"/>
                <w:color w:val="000000"/>
                <w:sz w:val="32"/>
                <w:szCs w:val="32"/>
                <w:highlight w:val="none"/>
                <w:u w:val="none"/>
              </w:rPr>
              <w:t>数据同步方案’中，必须包含详细的数据一致性校验机制与差异数据补偿方案。在‘⑧应急切换方案’中，需补充全流程迁移演练计划及一键回滚预案。</w:t>
            </w:r>
          </w:p>
          <w:p>
            <w:pPr>
              <w:snapToGrid/>
              <w:spacing w:before="0" w:after="0" w:line="600" w:lineRule="exact"/>
              <w:ind w:left="0" w:right="0" w:firstLine="640" w:firstLineChars="200"/>
              <w:jc w:val="left"/>
              <w:rPr>
                <w:rFonts w:hint="eastAsia" w:ascii="方正仿宋_GBK" w:hAnsi="方正仿宋_GBK" w:eastAsia="方正仿宋_GBK" w:cs="方正仿宋_GBK"/>
                <w:i w:val="0"/>
                <w:strike w:val="0"/>
                <w:color w:val="000000"/>
                <w:sz w:val="32"/>
                <w:szCs w:val="32"/>
                <w:highlight w:val="none"/>
                <w:u w:val="none"/>
              </w:rPr>
            </w:pPr>
            <w:r>
              <w:rPr>
                <w:rFonts w:hint="eastAsia" w:ascii="方正仿宋_GBK" w:hAnsi="方正仿宋_GBK" w:eastAsia="方正仿宋_GBK" w:cs="方正仿宋_GBK"/>
                <w:i w:val="0"/>
                <w:strike w:val="0"/>
                <w:color w:val="000000"/>
                <w:sz w:val="32"/>
                <w:szCs w:val="32"/>
                <w:highlight w:val="none"/>
                <w:u w:val="none"/>
              </w:rPr>
              <w:t>需在正式割接前完成至少2次全链路模拟演练，并提交《迁移演练报告》与《回滚成功验证报告》。只有在演练中证明RTO（业务恢复时间）与RPO（数据恢复点）满足目标要求，且业务功能无损后，方可启动正式迁移。</w:t>
            </w:r>
          </w:p>
          <w:p>
            <w:pPr>
              <w:snapToGrid/>
              <w:spacing w:before="0" w:after="0" w:line="600" w:lineRule="exact"/>
              <w:ind w:left="0" w:right="0" w:firstLine="640" w:firstLineChars="200"/>
              <w:jc w:val="left"/>
              <w:rPr>
                <w:rFonts w:hint="eastAsia" w:ascii="方正仿宋_GBK" w:hAnsi="方正仿宋_GBK" w:eastAsia="方正仿宋_GBK" w:cs="方正仿宋_GBK"/>
                <w:i w:val="0"/>
                <w:strike w:val="0"/>
                <w:color w:val="000000"/>
                <w:sz w:val="32"/>
                <w:szCs w:val="32"/>
                <w:highlight w:val="none"/>
                <w:u w:val="none"/>
              </w:rPr>
            </w:pPr>
            <w:r>
              <w:rPr>
                <w:rFonts w:hint="eastAsia" w:ascii="方正仿宋_GBK" w:hAnsi="方正仿宋_GBK" w:eastAsia="方正仿宋_GBK" w:cs="方正仿宋_GBK"/>
                <w:i w:val="0"/>
                <w:strike w:val="0"/>
                <w:color w:val="000000"/>
                <w:sz w:val="32"/>
                <w:szCs w:val="32"/>
                <w:highlight w:val="none"/>
                <w:u w:val="none"/>
              </w:rPr>
              <w:t>项目实施团队安排中，需明确项目经理、云架构师、数据库专家等核心人员的简历、资质证书及在本项目中的最低服务期限。未经业主方书面同意，中选人不得随意更换核心人员；若确需更换，接替人员资质不得低于原人员，并需经过业主方面试考核。</w:t>
            </w:r>
          </w:p>
          <w:p>
            <w:pPr>
              <w:snapToGrid/>
              <w:spacing w:before="0" w:after="0" w:line="600" w:lineRule="exact"/>
              <w:ind w:left="0" w:right="0" w:firstLine="643" w:firstLineChars="200"/>
              <w:jc w:val="both"/>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b/>
                <w:i w:val="0"/>
                <w:strike w:val="0"/>
                <w:color w:val="000000"/>
                <w:sz w:val="32"/>
                <w:szCs w:val="32"/>
                <w:highlight w:val="none"/>
                <w:u w:val="none"/>
              </w:rPr>
              <w:t>（五）售后服务要求</w:t>
            </w:r>
          </w:p>
          <w:p>
            <w:pPr>
              <w:snapToGrid/>
              <w:spacing w:before="0" w:after="0" w:line="600" w:lineRule="exact"/>
              <w:ind w:left="0" w:right="0" w:firstLine="640" w:firstLineChars="200"/>
              <w:jc w:val="lef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i w:val="0"/>
                <w:strike w:val="0"/>
                <w:color w:val="000000"/>
                <w:sz w:val="32"/>
                <w:szCs w:val="32"/>
                <w:highlight w:val="none"/>
                <w:u w:val="none"/>
              </w:rPr>
              <w:t>提供7天*24小时专人值守的热线电话，记录服务事件及处理结果。</w:t>
            </w:r>
          </w:p>
          <w:p>
            <w:pPr>
              <w:snapToGrid/>
              <w:spacing w:before="0" w:after="0" w:line="600" w:lineRule="exact"/>
              <w:ind w:left="0" w:right="0" w:firstLine="643" w:firstLineChars="200"/>
              <w:jc w:val="both"/>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b/>
                <w:i w:val="0"/>
                <w:strike w:val="0"/>
                <w:color w:val="000000"/>
                <w:sz w:val="32"/>
                <w:szCs w:val="32"/>
                <w:highlight w:val="none"/>
                <w:u w:val="none"/>
              </w:rPr>
              <w:t>（六）其他要求</w:t>
            </w:r>
          </w:p>
          <w:bookmarkEnd w:id="0"/>
          <w:p>
            <w:pPr>
              <w:spacing w:line="360" w:lineRule="auto"/>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i w:val="0"/>
                <w:strike w:val="0"/>
                <w:color w:val="000000"/>
                <w:sz w:val="32"/>
                <w:szCs w:val="32"/>
                <w:highlight w:val="none"/>
                <w:u w:val="none"/>
                <w:lang w:val="en-US" w:eastAsia="zh-CN"/>
              </w:rPr>
              <w:t>为</w:t>
            </w:r>
            <w:r>
              <w:rPr>
                <w:rFonts w:hint="eastAsia" w:ascii="方正仿宋_GBK" w:hAnsi="方正仿宋_GBK" w:eastAsia="方正仿宋_GBK" w:cs="方正仿宋_GBK"/>
                <w:i w:val="0"/>
                <w:strike w:val="0"/>
                <w:color w:val="000000"/>
                <w:sz w:val="32"/>
                <w:szCs w:val="32"/>
                <w:highlight w:val="none"/>
                <w:u w:val="none"/>
              </w:rPr>
              <w:t>本项目提供的所有云资源必须部署在境内数据中心，且数据中心须通过网络安全等级保护三级标准。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9" w:type="dxa"/>
          </w:tcPr>
          <w:p>
            <w:pPr>
              <w:pStyle w:val="2"/>
              <w:spacing w:line="580" w:lineRule="exact"/>
              <w:ind w:firstLine="0" w:firstLineChars="0"/>
              <w:rPr>
                <w:rFonts w:ascii="Times New Roman" w:hAnsi="Times New Roman" w:eastAsia="方正仿宋_GBK" w:cs="Times New Roman"/>
                <w:sz w:val="32"/>
                <w:szCs w:val="32"/>
              </w:rPr>
            </w:pPr>
            <w:r>
              <w:rPr>
                <w:rFonts w:hint="eastAsia" w:ascii="仿宋" w:hAnsi="仿宋" w:eastAsia="仿宋"/>
                <w:sz w:val="32"/>
                <w:szCs w:val="32"/>
              </w:rPr>
              <w:t>供应商应具备的资格条件</w:t>
            </w:r>
          </w:p>
        </w:tc>
        <w:tc>
          <w:tcPr>
            <w:tcW w:w="8640" w:type="dxa"/>
          </w:tcPr>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1、具有独立承担民事责任的能力；</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2、具有良好的商业信誉和健全的财务会计制度；</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3、具有履行合同所必需的设备和专业技术能力；</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4、具有依法缴纳税收和社会保障资金的良好记录；</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5、参加本次采购活动前三年内，在经营活动中没有重大违法记录；</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6、法律、行政法规规定的其他条件。</w:t>
            </w:r>
          </w:p>
          <w:p>
            <w:pPr>
              <w:pStyle w:val="2"/>
              <w:spacing w:line="58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hint="eastAsia" w:ascii="方正仿宋_GBK" w:eastAsia="方正仿宋_GBK"/>
                <w:sz w:val="32"/>
                <w:szCs w:val="32"/>
              </w:rPr>
              <w:t>本项目不接受联合体参与本次采购。</w:t>
            </w:r>
          </w:p>
        </w:tc>
      </w:tr>
    </w:tbl>
    <w:p>
      <w:pPr>
        <w:pStyle w:val="2"/>
        <w:spacing w:line="580" w:lineRule="exact"/>
        <w:ind w:firstLine="0" w:firstLineChars="0"/>
        <w:rPr>
          <w:rFonts w:ascii="Times New Roman" w:hAnsi="Times New Roman" w:eastAsia="方正仿宋_GBK" w:cs="Times New Roman"/>
          <w:bCs/>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64px;height:64px" o:bullet="t">
        <v:imagedata r:id="rId1" o:title=""/>
      </v:shape>
    </w:pict>
  </w:numPicBullet>
  <w:abstractNum w:abstractNumId="0">
    <w:nsid w:val="89616412"/>
    <w:multiLevelType w:val="singleLevel"/>
    <w:tmpl w:val="89616412"/>
    <w:lvl w:ilvl="0" w:tentative="0">
      <w:start w:val="1"/>
      <w:numFmt w:val="bullet"/>
      <w:lvlText w:val=""/>
      <w:lvlJc w:val="left"/>
      <w:pPr>
        <w:ind w:left="420" w:hanging="420"/>
      </w:pPr>
      <w:rPr>
        <w:rFonts w:hint="default" w:ascii="Wingdings" w:hAnsi="Wingdings"/>
      </w:rPr>
    </w:lvl>
  </w:abstractNum>
  <w:abstractNum w:abstractNumId="1">
    <w:nsid w:val="FC7FD0F2"/>
    <w:multiLevelType w:val="multilevel"/>
    <w:tmpl w:val="FC7FD0F2"/>
    <w:lvl w:ilvl="0" w:tentative="0">
      <w:start w:val="1"/>
      <w:numFmt w:val="bullet"/>
      <w:lvlText w:val=""/>
      <w:lvlJc w:val="left"/>
      <w:rPr>
        <w:rFonts w:hint="default" w:ascii="Wingdings" w:hAnsi="Wingdings" w:cs="Wingdings"/>
      </w:rPr>
    </w:lvl>
    <w:lvl w:ilvl="1" w:tentative="0">
      <w:start w:val="1"/>
      <w:numFmt w:val="bullet"/>
      <w:lvlText w:val="¡"/>
      <w:lvlJc w:val="left"/>
      <w:pPr>
        <w:ind w:leftChars="200" w:hanging="336"/>
      </w:pPr>
      <w:rPr>
        <w:rFonts w:hint="default" w:ascii="Wingdings" w:hAnsi="Wingdings" w:cs="Wingdings"/>
      </w:rPr>
    </w:lvl>
    <w:lvl w:ilvl="2" w:tentative="0">
      <w:start w:val="1"/>
      <w:numFmt w:val="bullet"/>
      <w:lvlText w:val=""/>
      <w:lvlJc w:val="left"/>
      <w:pPr>
        <w:ind w:leftChars="400" w:hanging="336"/>
      </w:pPr>
      <w:rPr>
        <w:rFonts w:hint="default" w:ascii="Wingdings" w:hAnsi="Wingdings" w:cs="Wingdings"/>
      </w:rPr>
    </w:lvl>
    <w:lvl w:ilvl="3" w:tentative="0">
      <w:start w:val="1"/>
      <w:numFmt w:val="bullet"/>
      <w:lvlText w:val=""/>
      <w:lvlJc w:val="left"/>
      <w:pPr>
        <w:ind w:leftChars="600" w:firstLine="0"/>
      </w:pPr>
      <w:rPr>
        <w:rFonts w:hint="default" w:ascii="Wingdings" w:hAnsi="Wingdings" w:cs="Wingdings"/>
      </w:rPr>
    </w:lvl>
    <w:lvl w:ilvl="4" w:tentative="0">
      <w:start w:val="1"/>
      <w:numFmt w:val="bullet"/>
      <w:lvlText w:val="¡"/>
      <w:lvlJc w:val="left"/>
      <w:pPr>
        <w:ind w:leftChars="800" w:hanging="336"/>
      </w:pPr>
      <w:rPr>
        <w:rFonts w:hint="default" w:ascii="Wingdings" w:hAnsi="Wingdings" w:cs="Wingdings"/>
      </w:rPr>
    </w:lvl>
    <w:lvl w:ilvl="5" w:tentative="0">
      <w:start w:val="1"/>
      <w:numFmt w:val="bullet"/>
      <w:lvlText w:val=""/>
      <w:lvlJc w:val="left"/>
      <w:pPr>
        <w:ind w:leftChars="1000" w:hanging="336"/>
      </w:pPr>
      <w:rPr>
        <w:rFonts w:hint="default" w:ascii="Wingdings" w:hAnsi="Wingdings" w:cs="Wingdings"/>
      </w:rPr>
    </w:lvl>
    <w:lvl w:ilvl="6" w:tentative="0">
      <w:start w:val="1"/>
      <w:numFmt w:val="bullet"/>
      <w:lvlText w:val=""/>
      <w:lvlJc w:val="left"/>
      <w:pPr>
        <w:ind w:leftChars="1200" w:firstLine="0"/>
      </w:pPr>
      <w:rPr>
        <w:rFonts w:hint="default" w:ascii="Wingdings" w:hAnsi="Wingdings" w:cs="Wingdings"/>
      </w:rPr>
    </w:lvl>
    <w:lvl w:ilvl="7" w:tentative="0">
      <w:start w:val="1"/>
      <w:numFmt w:val="bullet"/>
      <w:lvlText w:val="¡"/>
      <w:lvlJc w:val="left"/>
      <w:pPr>
        <w:ind w:leftChars="1400" w:hanging="336"/>
      </w:pPr>
      <w:rPr>
        <w:rFonts w:hint="default" w:ascii="Wingdings" w:hAnsi="Wingdings" w:cs="Wingdings"/>
      </w:rPr>
    </w:lvl>
    <w:lvl w:ilvl="8" w:tentative="0">
      <w:start w:val="1"/>
      <w:numFmt w:val="bullet"/>
      <w:lvlText w:val=""/>
      <w:lvlJc w:val="left"/>
      <w:pPr>
        <w:ind w:leftChars="1600" w:hanging="336"/>
      </w:pPr>
      <w:rPr>
        <w:rFonts w:hint="default" w:ascii="Wingdings" w:hAnsi="Wingdings" w:cs="Wingdings"/>
      </w:rPr>
    </w:lvl>
  </w:abstractNum>
  <w:abstractNum w:abstractNumId="2">
    <w:nsid w:val="513426A3"/>
    <w:multiLevelType w:val="singleLevel"/>
    <w:tmpl w:val="513426A3"/>
    <w:lvl w:ilvl="0" w:tentative="0">
      <w:start w:val="1"/>
      <w:numFmt w:val="bullet"/>
      <w:lvlText w:val=""/>
      <w:lvlPicBulletId w:val="0"/>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AC"/>
    <w:rsid w:val="000B3A29"/>
    <w:rsid w:val="00113878"/>
    <w:rsid w:val="0012562F"/>
    <w:rsid w:val="00150A55"/>
    <w:rsid w:val="00151F96"/>
    <w:rsid w:val="001D28C8"/>
    <w:rsid w:val="001E691A"/>
    <w:rsid w:val="00267F06"/>
    <w:rsid w:val="002758AC"/>
    <w:rsid w:val="002F1D1F"/>
    <w:rsid w:val="003026CE"/>
    <w:rsid w:val="003059D1"/>
    <w:rsid w:val="003A2383"/>
    <w:rsid w:val="00403EB6"/>
    <w:rsid w:val="0046754A"/>
    <w:rsid w:val="00472511"/>
    <w:rsid w:val="0047475A"/>
    <w:rsid w:val="00480696"/>
    <w:rsid w:val="004C16B5"/>
    <w:rsid w:val="004C23F8"/>
    <w:rsid w:val="004E7A8F"/>
    <w:rsid w:val="004F03CF"/>
    <w:rsid w:val="004F23C8"/>
    <w:rsid w:val="005325FD"/>
    <w:rsid w:val="00554575"/>
    <w:rsid w:val="005B62A2"/>
    <w:rsid w:val="005E3D7B"/>
    <w:rsid w:val="005E4CDE"/>
    <w:rsid w:val="0068439C"/>
    <w:rsid w:val="006C6070"/>
    <w:rsid w:val="006D2409"/>
    <w:rsid w:val="006F453C"/>
    <w:rsid w:val="00715B27"/>
    <w:rsid w:val="00725FAF"/>
    <w:rsid w:val="007A746B"/>
    <w:rsid w:val="007B45FE"/>
    <w:rsid w:val="007E2B60"/>
    <w:rsid w:val="007E5FD6"/>
    <w:rsid w:val="00866919"/>
    <w:rsid w:val="008C7085"/>
    <w:rsid w:val="008E5892"/>
    <w:rsid w:val="00945868"/>
    <w:rsid w:val="009A36E7"/>
    <w:rsid w:val="009C295E"/>
    <w:rsid w:val="00A07212"/>
    <w:rsid w:val="00A538D8"/>
    <w:rsid w:val="00A617DA"/>
    <w:rsid w:val="00A64A67"/>
    <w:rsid w:val="00AB3A87"/>
    <w:rsid w:val="00AD3E4C"/>
    <w:rsid w:val="00AD48B4"/>
    <w:rsid w:val="00AF0575"/>
    <w:rsid w:val="00AF0B87"/>
    <w:rsid w:val="00B306E5"/>
    <w:rsid w:val="00B53381"/>
    <w:rsid w:val="00B5548F"/>
    <w:rsid w:val="00BC7F36"/>
    <w:rsid w:val="00BD72CA"/>
    <w:rsid w:val="00C8001C"/>
    <w:rsid w:val="00CA076D"/>
    <w:rsid w:val="00CB65FE"/>
    <w:rsid w:val="00CF3560"/>
    <w:rsid w:val="00D00803"/>
    <w:rsid w:val="00D34D4C"/>
    <w:rsid w:val="00DD1CA6"/>
    <w:rsid w:val="00DF7E4C"/>
    <w:rsid w:val="00E06C4C"/>
    <w:rsid w:val="00E241EF"/>
    <w:rsid w:val="00E552AC"/>
    <w:rsid w:val="00E86CAD"/>
    <w:rsid w:val="00EF591D"/>
    <w:rsid w:val="00F1755C"/>
    <w:rsid w:val="00F70D0A"/>
    <w:rsid w:val="00F9357C"/>
    <w:rsid w:val="00FA2166"/>
    <w:rsid w:val="00FA5957"/>
    <w:rsid w:val="00FE6218"/>
    <w:rsid w:val="016F14E9"/>
    <w:rsid w:val="04CE4A8C"/>
    <w:rsid w:val="05A00341"/>
    <w:rsid w:val="14E80E90"/>
    <w:rsid w:val="1973474B"/>
    <w:rsid w:val="19C06604"/>
    <w:rsid w:val="1CDD0B6C"/>
    <w:rsid w:val="1E381404"/>
    <w:rsid w:val="213F53EC"/>
    <w:rsid w:val="248035F6"/>
    <w:rsid w:val="265B6FA3"/>
    <w:rsid w:val="2A726ED0"/>
    <w:rsid w:val="2CBC531B"/>
    <w:rsid w:val="2D4E0941"/>
    <w:rsid w:val="2F7E09B2"/>
    <w:rsid w:val="325F64A8"/>
    <w:rsid w:val="326D5034"/>
    <w:rsid w:val="3514039F"/>
    <w:rsid w:val="37D761CF"/>
    <w:rsid w:val="388442DA"/>
    <w:rsid w:val="41AF4A80"/>
    <w:rsid w:val="4591611B"/>
    <w:rsid w:val="466D52C9"/>
    <w:rsid w:val="49F96C71"/>
    <w:rsid w:val="4A2B3D38"/>
    <w:rsid w:val="5152027A"/>
    <w:rsid w:val="518E74E2"/>
    <w:rsid w:val="51AD2B49"/>
    <w:rsid w:val="549565E9"/>
    <w:rsid w:val="58D74204"/>
    <w:rsid w:val="5A1D4FA0"/>
    <w:rsid w:val="5A3A7347"/>
    <w:rsid w:val="5E735A17"/>
    <w:rsid w:val="60AD6E74"/>
    <w:rsid w:val="623839C0"/>
    <w:rsid w:val="67BC3F84"/>
    <w:rsid w:val="6824758D"/>
    <w:rsid w:val="68821B20"/>
    <w:rsid w:val="6BCC3D77"/>
    <w:rsid w:val="6CA14247"/>
    <w:rsid w:val="73EF08AC"/>
    <w:rsid w:val="78AF1475"/>
    <w:rsid w:val="7D55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outlineLvl w:val="1"/>
    </w:pPr>
    <w:rPr>
      <w:b/>
      <w:sz w:val="32"/>
    </w:rPr>
  </w:style>
  <w:style w:type="paragraph" w:styleId="5">
    <w:name w:val="heading 3"/>
    <w:basedOn w:val="1"/>
    <w:next w:val="1"/>
    <w:qFormat/>
    <w:uiPriority w:val="0"/>
    <w:pPr>
      <w:keepNext/>
      <w:keepLines/>
      <w:outlineLvl w:val="2"/>
    </w:pPr>
    <w:rPr>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tabs>
        <w:tab w:val="left" w:pos="0"/>
      </w:tabs>
      <w:ind w:firstLine="420" w:firstLineChars="100"/>
    </w:pPr>
  </w:style>
  <w:style w:type="paragraph" w:styleId="3">
    <w:name w:val="Body Text"/>
    <w:basedOn w:val="1"/>
    <w:unhideWhenUsed/>
    <w:qFormat/>
    <w:uiPriority w:val="99"/>
    <w:rPr>
      <w:rFonts w:ascii="宋体"/>
      <w:color w:val="000000"/>
    </w:rPr>
  </w:style>
  <w:style w:type="paragraph" w:styleId="6">
    <w:name w:val="annotation text"/>
    <w:basedOn w:val="1"/>
    <w:link w:val="17"/>
    <w:qFormat/>
    <w:uiPriority w:val="0"/>
    <w:pPr>
      <w:jc w:val="left"/>
    </w:pPr>
    <w:rPr>
      <w:rFonts w:ascii="Times New Roman" w:hAnsi="Times New Roman" w:eastAsia="方正仿宋" w:cs="Times New Roman"/>
      <w:sz w:val="32"/>
    </w:rPr>
  </w:style>
  <w:style w:type="paragraph" w:styleId="7">
    <w:name w:val="Balloon Text"/>
    <w:basedOn w:val="1"/>
    <w:link w:val="16"/>
    <w:qFormat/>
    <w:uiPriority w:val="0"/>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02、首行缩进2字符正文"/>
    <w:basedOn w:val="1"/>
    <w:qFormat/>
    <w:uiPriority w:val="0"/>
    <w:pPr>
      <w:tabs>
        <w:tab w:val="left" w:pos="0"/>
      </w:tabs>
      <w:wordWrap w:val="0"/>
      <w:topLinePunct/>
      <w:ind w:firstLine="480" w:firstLineChars="200"/>
    </w:pPr>
  </w:style>
  <w:style w:type="paragraph" w:customStyle="1" w:styleId="13">
    <w:name w:val="03、“注：”正文(加粗，首行缩进2字符)"/>
    <w:basedOn w:val="14"/>
    <w:qFormat/>
    <w:uiPriority w:val="0"/>
    <w:pPr>
      <w:tabs>
        <w:tab w:val="left" w:pos="0"/>
      </w:tabs>
      <w:ind w:firstLine="480" w:firstLineChars="200"/>
    </w:pPr>
    <w:rPr>
      <w:b/>
    </w:rPr>
  </w:style>
  <w:style w:type="paragraph" w:customStyle="1" w:styleId="14">
    <w:name w:val="01、普通正文"/>
    <w:basedOn w:val="1"/>
    <w:qFormat/>
    <w:uiPriority w:val="0"/>
    <w:pPr>
      <w:tabs>
        <w:tab w:val="left" w:pos="0"/>
      </w:tabs>
      <w:wordWrap w:val="0"/>
      <w:topLinePunct/>
    </w:pPr>
    <w:rPr>
      <w:snapToGrid w:val="0"/>
    </w:rPr>
  </w:style>
  <w:style w:type="paragraph" w:customStyle="1" w:styleId="15">
    <w:name w:val="UserStyle_0"/>
    <w:basedOn w:val="1"/>
    <w:qFormat/>
    <w:uiPriority w:val="0"/>
    <w:pPr>
      <w:snapToGrid w:val="0"/>
      <w:spacing w:before="100" w:beforeAutospacing="1" w:after="100" w:afterAutospacing="1" w:line="440" w:lineRule="exact"/>
    </w:pPr>
    <w:rPr>
      <w:rFonts w:ascii="Times New Roman" w:hAnsi="Times New Roman" w:eastAsia="宋体" w:cs="Times New Roman"/>
      <w:bCs/>
      <w:color w:val="000000"/>
    </w:rPr>
  </w:style>
  <w:style w:type="character" w:customStyle="1" w:styleId="16">
    <w:name w:val="批注框文本 字符"/>
    <w:basedOn w:val="11"/>
    <w:link w:val="7"/>
    <w:qFormat/>
    <w:uiPriority w:val="0"/>
    <w:rPr>
      <w:rFonts w:asciiTheme="minorHAnsi" w:hAnsiTheme="minorHAnsi" w:eastAsiaTheme="minorEastAsia" w:cstheme="minorBidi"/>
      <w:kern w:val="2"/>
      <w:sz w:val="18"/>
      <w:szCs w:val="18"/>
    </w:rPr>
  </w:style>
  <w:style w:type="character" w:customStyle="1" w:styleId="17">
    <w:name w:val="批注文字 字符"/>
    <w:basedOn w:val="11"/>
    <w:link w:val="6"/>
    <w:qFormat/>
    <w:uiPriority w:val="0"/>
    <w:rPr>
      <w:rFonts w:eastAsia="方正仿宋"/>
      <w:kern w:val="2"/>
      <w:sz w:val="32"/>
      <w:szCs w:val="24"/>
    </w:rPr>
  </w:style>
  <w:style w:type="paragraph" w:customStyle="1" w:styleId="18">
    <w:name w:val="_Style 4"/>
    <w:basedOn w:val="1"/>
    <w:qFormat/>
    <w:uiPriority w:val="0"/>
    <w:rPr>
      <w:rFonts w:ascii="Times New Roman" w:hAnsi="Times New Roman" w:eastAsia="方正仿宋"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3</TotalTime>
  <ScaleCrop>false</ScaleCrop>
  <LinksUpToDate>false</LinksUpToDate>
  <CharactersWithSpaces>1195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2025-08-11T06:46:00Z</dcterms:created>
  <dc:creator>fang</dc:creator>
  <cp:lastModifiedBy>Administrator</cp:lastModifiedBy>
  <cp:lastPrinted>2025-10-14T01:53:00Z</cp:lastPrinted>
  <dcterms:modified xsi:type="dcterms:W3CDTF">2026-05-20T06:32:22Z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eyJoZGlkIjoiNDg2ZjRkYzNlNjFhM2JhMWI5NmU4YjlmODRhYjgyZTEiLCJ1c2VySWQiOiIyNDc3Mzg3MTUifQ==</vt:lpwstr>
  </property>
  <property fmtid="{D5CDD505-2E9C-101B-9397-08002B2CF9AE}" pid="4" name="ICV">
    <vt:lpwstr>240CE0E24FDE474F898E30A3D77D34F6_12</vt:lpwstr>
  </property>
</Properties>
</file>